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2" w:type="dxa"/>
        <w:tblInd w:w="-284" w:type="dxa"/>
        <w:tblCellMar>
          <w:left w:w="0" w:type="dxa"/>
          <w:right w:w="0" w:type="dxa"/>
        </w:tblCellMar>
        <w:tblLook w:val="01E0" w:firstRow="1" w:lastRow="1" w:firstColumn="1" w:lastColumn="1" w:noHBand="0" w:noVBand="0"/>
      </w:tblPr>
      <w:tblGrid>
        <w:gridCol w:w="4395"/>
        <w:gridCol w:w="5897"/>
      </w:tblGrid>
      <w:tr w:rsidR="00F40034" w:rsidRPr="00F40034" w14:paraId="172BA2E4" w14:textId="77777777" w:rsidTr="006C5413">
        <w:trPr>
          <w:trHeight w:val="1807"/>
        </w:trPr>
        <w:tc>
          <w:tcPr>
            <w:tcW w:w="4395" w:type="dxa"/>
          </w:tcPr>
          <w:p w14:paraId="577153AC" w14:textId="77777777" w:rsidR="005C49D2" w:rsidRPr="00F40034" w:rsidRDefault="00A940C7" w:rsidP="00F0199F">
            <w:pPr>
              <w:widowControl w:val="0"/>
              <w:ind w:right="-1"/>
              <w:jc w:val="center"/>
              <w:rPr>
                <w:b/>
              </w:rPr>
            </w:pPr>
            <w:r w:rsidRPr="00F40034">
              <w:rPr>
                <w:b/>
              </w:rPr>
              <w:t>MINISTÈRE</w:t>
            </w:r>
            <w:r w:rsidR="005C49D2" w:rsidRPr="00F40034">
              <w:rPr>
                <w:b/>
              </w:rPr>
              <w:t xml:space="preserve"> DE L</w:t>
            </w:r>
            <w:r w:rsidR="00EF75FF" w:rsidRPr="00F40034">
              <w:rPr>
                <w:b/>
              </w:rPr>
              <w:t>'</w:t>
            </w:r>
            <w:r w:rsidRPr="00F40034">
              <w:rPr>
                <w:b/>
              </w:rPr>
              <w:t>ÉCONOMIE</w:t>
            </w:r>
            <w:r w:rsidR="00490F08" w:rsidRPr="00F40034">
              <w:rPr>
                <w:b/>
              </w:rPr>
              <w:t>,</w:t>
            </w:r>
          </w:p>
          <w:p w14:paraId="31A3D3EA" w14:textId="77777777" w:rsidR="005C49D2" w:rsidRPr="00F40034" w:rsidRDefault="005C49D2" w:rsidP="00F0199F">
            <w:pPr>
              <w:widowControl w:val="0"/>
              <w:ind w:right="-1"/>
              <w:jc w:val="center"/>
            </w:pPr>
            <w:r w:rsidRPr="00F40034">
              <w:rPr>
                <w:b/>
              </w:rPr>
              <w:t>DES FINANCES</w:t>
            </w:r>
            <w:r w:rsidR="00490F08" w:rsidRPr="00F40034">
              <w:rPr>
                <w:b/>
              </w:rPr>
              <w:t xml:space="preserve"> ET DU </w:t>
            </w:r>
            <w:r w:rsidR="00A7745E" w:rsidRPr="00F40034">
              <w:rPr>
                <w:b/>
              </w:rPr>
              <w:t>DÉVELOPPEMENT</w:t>
            </w:r>
          </w:p>
          <w:p w14:paraId="75057718" w14:textId="77777777" w:rsidR="005C49D2" w:rsidRPr="00F40034" w:rsidRDefault="00A940C7" w:rsidP="00F0199F">
            <w:pPr>
              <w:pStyle w:val="Titre"/>
              <w:widowControl w:val="0"/>
              <w:spacing w:line="240" w:lineRule="auto"/>
              <w:ind w:right="-1"/>
              <w:rPr>
                <w:rFonts w:ascii="Times New Roman" w:hAnsi="Times New Roman"/>
                <w:b w:val="0"/>
                <w:kern w:val="0"/>
                <w:sz w:val="24"/>
                <w:szCs w:val="24"/>
              </w:rPr>
            </w:pPr>
            <w:r w:rsidRPr="00F40034">
              <w:rPr>
                <w:rFonts w:ascii="Times New Roman" w:hAnsi="Times New Roman"/>
                <w:b w:val="0"/>
                <w:kern w:val="0"/>
                <w:sz w:val="24"/>
                <w:szCs w:val="24"/>
              </w:rPr>
              <w:t>-------</w:t>
            </w:r>
          </w:p>
          <w:p w14:paraId="6DB6D1AC" w14:textId="77777777" w:rsidR="005C49D2" w:rsidRPr="00F40034" w:rsidRDefault="00A940C7" w:rsidP="00F0199F">
            <w:pPr>
              <w:widowControl w:val="0"/>
              <w:ind w:right="-1"/>
              <w:jc w:val="center"/>
              <w:rPr>
                <w:b/>
              </w:rPr>
            </w:pPr>
            <w:r w:rsidRPr="00F40034">
              <w:rPr>
                <w:b/>
              </w:rPr>
              <w:t>SECRÉTARIAT</w:t>
            </w:r>
            <w:r w:rsidR="005C49D2" w:rsidRPr="00F40034">
              <w:rPr>
                <w:b/>
              </w:rPr>
              <w:t xml:space="preserve"> DE L</w:t>
            </w:r>
            <w:r w:rsidR="00EF75FF" w:rsidRPr="00F40034">
              <w:rPr>
                <w:b/>
              </w:rPr>
              <w:t>'</w:t>
            </w:r>
            <w:r w:rsidRPr="00F40034">
              <w:rPr>
                <w:b/>
              </w:rPr>
              <w:t>ASSEMBLÉE</w:t>
            </w:r>
            <w:r w:rsidR="005C49D2" w:rsidRPr="00F40034">
              <w:rPr>
                <w:b/>
              </w:rPr>
              <w:t xml:space="preserve"> </w:t>
            </w:r>
            <w:r w:rsidRPr="00F40034">
              <w:rPr>
                <w:b/>
              </w:rPr>
              <w:t xml:space="preserve">GÉNÉRALE </w:t>
            </w:r>
            <w:r w:rsidR="005C49D2" w:rsidRPr="00F40034">
              <w:rPr>
                <w:b/>
              </w:rPr>
              <w:t xml:space="preserve">DES </w:t>
            </w:r>
            <w:r w:rsidRPr="00F40034">
              <w:rPr>
                <w:b/>
              </w:rPr>
              <w:t>ÉTABLISSEMENTS</w:t>
            </w:r>
            <w:r w:rsidR="00A052E9" w:rsidRPr="00F40034">
              <w:rPr>
                <w:b/>
              </w:rPr>
              <w:t xml:space="preserve"> PUBLICS DE L</w:t>
            </w:r>
            <w:r w:rsidR="00EF75FF" w:rsidRPr="00F40034">
              <w:rPr>
                <w:b/>
              </w:rPr>
              <w:t>'</w:t>
            </w:r>
            <w:r w:rsidRPr="00F40034">
              <w:rPr>
                <w:b/>
              </w:rPr>
              <w:t>ÉTAT</w:t>
            </w:r>
            <w:r w:rsidR="00132A25" w:rsidRPr="00F40034">
              <w:rPr>
                <w:b/>
              </w:rPr>
              <w:t xml:space="preserve"> (AG/EPE)</w:t>
            </w:r>
          </w:p>
        </w:tc>
        <w:tc>
          <w:tcPr>
            <w:tcW w:w="5897" w:type="dxa"/>
          </w:tcPr>
          <w:p w14:paraId="19969A5D" w14:textId="77777777" w:rsidR="005C49D2" w:rsidRPr="00F40034" w:rsidRDefault="005C49D2" w:rsidP="00F0199F">
            <w:pPr>
              <w:pStyle w:val="Titre"/>
              <w:widowControl w:val="0"/>
              <w:spacing w:line="240" w:lineRule="auto"/>
              <w:ind w:left="2131" w:right="-1"/>
              <w:rPr>
                <w:rFonts w:ascii="Times New Roman" w:hAnsi="Times New Roman"/>
                <w:kern w:val="0"/>
                <w:sz w:val="24"/>
                <w:szCs w:val="24"/>
              </w:rPr>
            </w:pPr>
            <w:r w:rsidRPr="00F40034">
              <w:rPr>
                <w:rFonts w:ascii="Times New Roman" w:hAnsi="Times New Roman"/>
                <w:kern w:val="0"/>
                <w:sz w:val="24"/>
                <w:szCs w:val="24"/>
              </w:rPr>
              <w:t>BURKINA FASO</w:t>
            </w:r>
          </w:p>
          <w:p w14:paraId="41ACA466" w14:textId="77777777" w:rsidR="005C49D2" w:rsidRPr="00F40034" w:rsidRDefault="005C49D2" w:rsidP="00F0199F">
            <w:pPr>
              <w:pStyle w:val="Titre"/>
              <w:widowControl w:val="0"/>
              <w:spacing w:line="240" w:lineRule="auto"/>
              <w:ind w:left="2131" w:right="-1"/>
              <w:rPr>
                <w:rFonts w:ascii="Times New Roman" w:hAnsi="Times New Roman"/>
                <w:kern w:val="0"/>
                <w:sz w:val="24"/>
                <w:szCs w:val="24"/>
              </w:rPr>
            </w:pPr>
            <w:r w:rsidRPr="00F40034">
              <w:rPr>
                <w:rFonts w:ascii="Times New Roman" w:hAnsi="Times New Roman"/>
                <w:iCs/>
                <w:kern w:val="0"/>
                <w:sz w:val="24"/>
                <w:szCs w:val="24"/>
              </w:rPr>
              <w:t>U</w:t>
            </w:r>
            <w:r w:rsidR="002200C3" w:rsidRPr="00F40034">
              <w:rPr>
                <w:rFonts w:ascii="Times New Roman" w:hAnsi="Times New Roman"/>
                <w:iCs/>
                <w:kern w:val="0"/>
                <w:sz w:val="24"/>
                <w:szCs w:val="24"/>
              </w:rPr>
              <w:t>nité -</w:t>
            </w:r>
            <w:r w:rsidRPr="00F40034">
              <w:rPr>
                <w:rFonts w:ascii="Times New Roman" w:hAnsi="Times New Roman"/>
                <w:iCs/>
                <w:kern w:val="0"/>
                <w:sz w:val="24"/>
                <w:szCs w:val="24"/>
              </w:rPr>
              <w:t xml:space="preserve"> Progrès - Justice</w:t>
            </w:r>
          </w:p>
        </w:tc>
      </w:tr>
    </w:tbl>
    <w:p w14:paraId="0014C366" w14:textId="77777777" w:rsidR="005C49D2" w:rsidRPr="00F40034" w:rsidRDefault="005C49D2" w:rsidP="00F0199F">
      <w:pPr>
        <w:widowControl w:val="0"/>
        <w:ind w:right="-1"/>
        <w:jc w:val="both"/>
        <w:rPr>
          <w:rFonts w:eastAsia="Batang"/>
        </w:rPr>
      </w:pPr>
    </w:p>
    <w:p w14:paraId="3798C6DE" w14:textId="77777777" w:rsidR="006C5413" w:rsidRPr="00F40034" w:rsidRDefault="006C5413" w:rsidP="00F0199F">
      <w:pPr>
        <w:widowControl w:val="0"/>
        <w:ind w:right="-1"/>
        <w:jc w:val="both"/>
        <w:rPr>
          <w:rFonts w:eastAsia="Batang"/>
        </w:rPr>
      </w:pPr>
    </w:p>
    <w:p w14:paraId="7B120FEF" w14:textId="77777777" w:rsidR="006C5413" w:rsidRPr="00F40034" w:rsidRDefault="006C5413" w:rsidP="00F0199F">
      <w:pPr>
        <w:widowControl w:val="0"/>
        <w:ind w:right="-1"/>
        <w:jc w:val="both"/>
        <w:rPr>
          <w:rFonts w:eastAsia="Batang"/>
        </w:rPr>
      </w:pPr>
    </w:p>
    <w:p w14:paraId="7EFA30C4" w14:textId="77777777" w:rsidR="00354ACC" w:rsidRPr="00F40034" w:rsidRDefault="00354ACC" w:rsidP="00F0199F">
      <w:pPr>
        <w:widowControl w:val="0"/>
        <w:ind w:right="-1"/>
        <w:jc w:val="both"/>
        <w:rPr>
          <w:rFonts w:eastAsia="Batang"/>
        </w:rPr>
      </w:pPr>
    </w:p>
    <w:p w14:paraId="5F2DD39A" w14:textId="77777777" w:rsidR="00354ACC" w:rsidRPr="00F40034" w:rsidRDefault="00354ACC" w:rsidP="00F0199F">
      <w:pPr>
        <w:widowControl w:val="0"/>
        <w:ind w:right="-1"/>
        <w:jc w:val="both"/>
        <w:rPr>
          <w:rFonts w:eastAsia="Batang"/>
        </w:rPr>
      </w:pPr>
    </w:p>
    <w:p w14:paraId="7C1B9348" w14:textId="77777777" w:rsidR="006C5413" w:rsidRPr="00F40034" w:rsidRDefault="006C5413" w:rsidP="00F0199F">
      <w:pPr>
        <w:widowControl w:val="0"/>
        <w:ind w:right="-1"/>
        <w:jc w:val="both"/>
        <w:rPr>
          <w:rFonts w:eastAsia="Batang"/>
        </w:rPr>
      </w:pPr>
    </w:p>
    <w:p w14:paraId="48EE3747" w14:textId="77777777" w:rsidR="006C5413" w:rsidRPr="00F40034" w:rsidRDefault="006C5413" w:rsidP="00F0199F">
      <w:pPr>
        <w:widowControl w:val="0"/>
        <w:ind w:right="-1"/>
        <w:jc w:val="both"/>
        <w:rPr>
          <w:rFonts w:eastAsia="Batang"/>
        </w:rPr>
      </w:pPr>
    </w:p>
    <w:p w14:paraId="75CB7E06" w14:textId="77777777" w:rsidR="005F5853" w:rsidRPr="00F40034" w:rsidRDefault="005F5853" w:rsidP="00F0199F">
      <w:pPr>
        <w:widowControl w:val="0"/>
        <w:ind w:right="-1"/>
        <w:jc w:val="both"/>
        <w:rPr>
          <w:rFonts w:eastAsia="Batang"/>
        </w:rPr>
      </w:pPr>
    </w:p>
    <w:p w14:paraId="1AAEA737" w14:textId="77777777" w:rsidR="005F5853" w:rsidRPr="00F40034" w:rsidRDefault="005F5853" w:rsidP="00F0199F">
      <w:pPr>
        <w:widowControl w:val="0"/>
        <w:ind w:right="-1"/>
        <w:jc w:val="both"/>
        <w:rPr>
          <w:rFonts w:eastAsia="Batang"/>
        </w:rPr>
      </w:pPr>
    </w:p>
    <w:p w14:paraId="3951A659" w14:textId="77777777" w:rsidR="006C5413" w:rsidRPr="00F40034" w:rsidRDefault="006C5413" w:rsidP="00F0199F">
      <w:pPr>
        <w:widowControl w:val="0"/>
        <w:ind w:right="-1"/>
        <w:jc w:val="both"/>
        <w:rPr>
          <w:rFonts w:eastAsia="Batang"/>
        </w:rPr>
      </w:pPr>
    </w:p>
    <w:p w14:paraId="0C67751C" w14:textId="77777777" w:rsidR="006C5413" w:rsidRPr="00F40034" w:rsidRDefault="006C5413" w:rsidP="00F0199F">
      <w:pPr>
        <w:widowControl w:val="0"/>
        <w:ind w:right="-1"/>
        <w:jc w:val="both"/>
        <w:rPr>
          <w:rFonts w:eastAsia="Batang"/>
        </w:rPr>
      </w:pPr>
    </w:p>
    <w:p w14:paraId="78045F4D" w14:textId="77777777" w:rsidR="006C5413" w:rsidRPr="00F40034" w:rsidRDefault="006C5413" w:rsidP="00F0199F">
      <w:pPr>
        <w:widowControl w:val="0"/>
        <w:ind w:right="-1"/>
        <w:jc w:val="both"/>
        <w:rPr>
          <w:rFonts w:eastAsia="Batang"/>
        </w:rPr>
      </w:pPr>
    </w:p>
    <w:p w14:paraId="5AC90CA6" w14:textId="77777777" w:rsidR="005C49D2" w:rsidRPr="00F40034" w:rsidRDefault="005C49D2" w:rsidP="00F0199F">
      <w:pPr>
        <w:widowControl w:val="0"/>
        <w:ind w:right="-1"/>
        <w:jc w:val="both"/>
        <w:rPr>
          <w:rFonts w:eastAsia="Batang"/>
        </w:rPr>
      </w:pPr>
    </w:p>
    <w:p w14:paraId="6DF729EC" w14:textId="77777777" w:rsidR="005C49D2" w:rsidRPr="0003709B" w:rsidRDefault="002200C3" w:rsidP="00F0199F">
      <w:pPr>
        <w:widowControl w:val="0"/>
        <w:ind w:right="-1"/>
        <w:jc w:val="center"/>
        <w:rPr>
          <w:rFonts w:eastAsia="Batang"/>
          <w:b/>
          <w:sz w:val="32"/>
          <w:szCs w:val="32"/>
        </w:rPr>
      </w:pPr>
      <w:r w:rsidRPr="0003709B">
        <w:rPr>
          <w:rFonts w:eastAsia="Batang"/>
          <w:b/>
          <w:sz w:val="32"/>
          <w:szCs w:val="32"/>
        </w:rPr>
        <w:t>VINGT</w:t>
      </w:r>
      <w:r w:rsidR="0091514B" w:rsidRPr="0003709B">
        <w:rPr>
          <w:rFonts w:eastAsia="Batang"/>
          <w:b/>
          <w:sz w:val="32"/>
          <w:szCs w:val="32"/>
        </w:rPr>
        <w:t>-</w:t>
      </w:r>
      <w:r w:rsidR="003F2118" w:rsidRPr="0003709B">
        <w:rPr>
          <w:rFonts w:eastAsia="Batang"/>
          <w:b/>
          <w:sz w:val="32"/>
          <w:szCs w:val="32"/>
        </w:rPr>
        <w:t>DEUXI</w:t>
      </w:r>
      <w:r w:rsidRPr="0003709B">
        <w:rPr>
          <w:rFonts w:eastAsia="Batang"/>
          <w:b/>
          <w:sz w:val="32"/>
          <w:szCs w:val="32"/>
        </w:rPr>
        <w:t xml:space="preserve">ÈME SESSION </w:t>
      </w:r>
      <w:r w:rsidR="00ED28B3" w:rsidRPr="0003709B">
        <w:rPr>
          <w:rFonts w:eastAsia="Batang"/>
          <w:b/>
          <w:sz w:val="32"/>
          <w:szCs w:val="32"/>
        </w:rPr>
        <w:t>DE L'</w:t>
      </w:r>
      <w:r w:rsidRPr="0003709B">
        <w:rPr>
          <w:rFonts w:eastAsia="Batang"/>
          <w:b/>
          <w:sz w:val="32"/>
          <w:szCs w:val="32"/>
        </w:rPr>
        <w:t>ASSEMBLÉE</w:t>
      </w:r>
      <w:r w:rsidR="005C49D2" w:rsidRPr="0003709B">
        <w:rPr>
          <w:rFonts w:eastAsia="Batang"/>
          <w:b/>
          <w:sz w:val="32"/>
          <w:szCs w:val="32"/>
        </w:rPr>
        <w:t xml:space="preserve"> </w:t>
      </w:r>
      <w:r w:rsidRPr="0003709B">
        <w:rPr>
          <w:rFonts w:eastAsia="Batang"/>
          <w:b/>
          <w:sz w:val="32"/>
          <w:szCs w:val="32"/>
        </w:rPr>
        <w:t>GÉNÉRALE</w:t>
      </w:r>
      <w:r w:rsidR="005C49D2" w:rsidRPr="0003709B">
        <w:rPr>
          <w:rFonts w:eastAsia="Batang"/>
          <w:b/>
          <w:sz w:val="32"/>
          <w:szCs w:val="32"/>
        </w:rPr>
        <w:t xml:space="preserve"> DES </w:t>
      </w:r>
      <w:r w:rsidRPr="0003709B">
        <w:rPr>
          <w:rFonts w:eastAsia="Batang"/>
          <w:b/>
          <w:sz w:val="32"/>
          <w:szCs w:val="32"/>
        </w:rPr>
        <w:t>ÉTABLISSEMENTS</w:t>
      </w:r>
      <w:r w:rsidR="005C49D2" w:rsidRPr="0003709B">
        <w:rPr>
          <w:rFonts w:eastAsia="Batang"/>
          <w:b/>
          <w:sz w:val="32"/>
          <w:szCs w:val="32"/>
        </w:rPr>
        <w:t xml:space="preserve"> PUBLICS DE L</w:t>
      </w:r>
      <w:r w:rsidR="00EF75FF" w:rsidRPr="0003709B">
        <w:rPr>
          <w:rFonts w:eastAsia="Batang"/>
          <w:b/>
          <w:sz w:val="32"/>
          <w:szCs w:val="32"/>
        </w:rPr>
        <w:t>'</w:t>
      </w:r>
      <w:r w:rsidRPr="0003709B">
        <w:rPr>
          <w:rFonts w:eastAsia="Batang"/>
          <w:b/>
          <w:sz w:val="32"/>
          <w:szCs w:val="32"/>
        </w:rPr>
        <w:t>ÉTAT</w:t>
      </w:r>
      <w:r w:rsidR="005C49D2" w:rsidRPr="0003709B">
        <w:rPr>
          <w:rFonts w:eastAsia="Batang"/>
          <w:b/>
          <w:sz w:val="32"/>
          <w:szCs w:val="32"/>
        </w:rPr>
        <w:t xml:space="preserve"> (</w:t>
      </w:r>
      <w:r w:rsidR="00EF5AAE" w:rsidRPr="0003709B">
        <w:rPr>
          <w:rFonts w:eastAsia="Batang"/>
          <w:b/>
          <w:sz w:val="32"/>
          <w:szCs w:val="32"/>
        </w:rPr>
        <w:t>A</w:t>
      </w:r>
      <w:r w:rsidR="007D263A" w:rsidRPr="0003709B">
        <w:rPr>
          <w:rFonts w:eastAsia="Batang"/>
          <w:b/>
          <w:sz w:val="32"/>
          <w:szCs w:val="32"/>
        </w:rPr>
        <w:t>G/</w:t>
      </w:r>
      <w:r w:rsidR="00EF5AAE" w:rsidRPr="0003709B">
        <w:rPr>
          <w:rFonts w:eastAsia="Batang"/>
          <w:b/>
          <w:sz w:val="32"/>
          <w:szCs w:val="32"/>
        </w:rPr>
        <w:t>EPE</w:t>
      </w:r>
      <w:r w:rsidR="005C49D2" w:rsidRPr="0003709B">
        <w:rPr>
          <w:rFonts w:eastAsia="Batang"/>
          <w:b/>
          <w:sz w:val="32"/>
          <w:szCs w:val="32"/>
        </w:rPr>
        <w:t>)</w:t>
      </w:r>
    </w:p>
    <w:p w14:paraId="3E1038F9" w14:textId="77777777" w:rsidR="005C49D2" w:rsidRPr="0003709B" w:rsidRDefault="002200C3" w:rsidP="00F0199F">
      <w:pPr>
        <w:widowControl w:val="0"/>
        <w:ind w:right="-1"/>
        <w:jc w:val="center"/>
        <w:rPr>
          <w:rFonts w:eastAsia="Batang"/>
          <w:b/>
          <w:sz w:val="32"/>
          <w:szCs w:val="32"/>
        </w:rPr>
      </w:pPr>
      <w:r w:rsidRPr="0003709B">
        <w:rPr>
          <w:rFonts w:eastAsia="Batang"/>
          <w:b/>
          <w:sz w:val="32"/>
          <w:szCs w:val="32"/>
        </w:rPr>
        <w:t>Ouagadougou, le</w:t>
      </w:r>
      <w:r w:rsidR="0091514B" w:rsidRPr="0003709B">
        <w:rPr>
          <w:rFonts w:eastAsia="Batang"/>
          <w:b/>
          <w:sz w:val="32"/>
          <w:szCs w:val="32"/>
        </w:rPr>
        <w:t xml:space="preserve"> </w:t>
      </w:r>
      <w:r w:rsidR="003F2118" w:rsidRPr="0003709B">
        <w:rPr>
          <w:rFonts w:eastAsia="Batang"/>
          <w:b/>
          <w:sz w:val="32"/>
          <w:szCs w:val="32"/>
        </w:rPr>
        <w:t xml:space="preserve">15 juillet </w:t>
      </w:r>
      <w:r w:rsidRPr="0003709B">
        <w:rPr>
          <w:rFonts w:eastAsia="Batang"/>
          <w:b/>
          <w:sz w:val="32"/>
          <w:szCs w:val="32"/>
        </w:rPr>
        <w:t>20</w:t>
      </w:r>
      <w:r w:rsidR="0091514B" w:rsidRPr="0003709B">
        <w:rPr>
          <w:rFonts w:eastAsia="Batang"/>
          <w:b/>
          <w:sz w:val="32"/>
          <w:szCs w:val="32"/>
        </w:rPr>
        <w:t>2</w:t>
      </w:r>
      <w:r w:rsidR="003F2118" w:rsidRPr="0003709B">
        <w:rPr>
          <w:rFonts w:eastAsia="Batang"/>
          <w:b/>
          <w:sz w:val="32"/>
          <w:szCs w:val="32"/>
        </w:rPr>
        <w:t>1</w:t>
      </w:r>
    </w:p>
    <w:p w14:paraId="0F667436" w14:textId="77777777" w:rsidR="005C49D2" w:rsidRPr="00F40034" w:rsidRDefault="005C49D2" w:rsidP="00F0199F">
      <w:pPr>
        <w:widowControl w:val="0"/>
        <w:ind w:right="-1"/>
        <w:jc w:val="both"/>
        <w:rPr>
          <w:rFonts w:eastAsia="Batang"/>
        </w:rPr>
      </w:pPr>
    </w:p>
    <w:p w14:paraId="68850798" w14:textId="77777777" w:rsidR="00A00072" w:rsidRDefault="005C49D2" w:rsidP="00F0199F">
      <w:pPr>
        <w:pStyle w:val="Titre"/>
        <w:widowControl w:val="0"/>
        <w:pBdr>
          <w:top w:val="single" w:sz="4" w:space="1" w:color="auto"/>
          <w:left w:val="single" w:sz="4" w:space="4" w:color="auto"/>
          <w:bottom w:val="single" w:sz="4" w:space="1" w:color="auto"/>
          <w:right w:val="single" w:sz="4" w:space="4" w:color="auto"/>
        </w:pBdr>
        <w:spacing w:line="240" w:lineRule="auto"/>
        <w:ind w:right="-1"/>
        <w:rPr>
          <w:rFonts w:ascii="Times New Roman" w:hAnsi="Times New Roman"/>
          <w:sz w:val="40"/>
          <w:szCs w:val="30"/>
        </w:rPr>
      </w:pPr>
      <w:r w:rsidRPr="00F40034">
        <w:rPr>
          <w:rFonts w:ascii="Times New Roman" w:hAnsi="Times New Roman"/>
          <w:sz w:val="40"/>
          <w:szCs w:val="30"/>
        </w:rPr>
        <w:t xml:space="preserve">RAPPORT DU </w:t>
      </w:r>
      <w:r w:rsidR="007D263A" w:rsidRPr="00F40034">
        <w:rPr>
          <w:rFonts w:ascii="Times New Roman" w:hAnsi="Times New Roman"/>
          <w:sz w:val="40"/>
          <w:szCs w:val="30"/>
        </w:rPr>
        <w:t>SECRÉTARIAT</w:t>
      </w:r>
      <w:r w:rsidRPr="00F40034">
        <w:rPr>
          <w:rFonts w:ascii="Times New Roman" w:hAnsi="Times New Roman"/>
          <w:sz w:val="40"/>
          <w:szCs w:val="30"/>
        </w:rPr>
        <w:t xml:space="preserve"> SUR LA GESTION</w:t>
      </w:r>
      <w:r w:rsidR="007D263A" w:rsidRPr="00F40034">
        <w:rPr>
          <w:rFonts w:ascii="Times New Roman" w:hAnsi="Times New Roman"/>
          <w:sz w:val="40"/>
          <w:szCs w:val="30"/>
        </w:rPr>
        <w:t xml:space="preserve"> </w:t>
      </w:r>
      <w:r w:rsidRPr="00F40034">
        <w:rPr>
          <w:rFonts w:ascii="Times New Roman" w:hAnsi="Times New Roman"/>
          <w:sz w:val="40"/>
          <w:szCs w:val="30"/>
        </w:rPr>
        <w:t xml:space="preserve">DES </w:t>
      </w:r>
      <w:r w:rsidR="007D263A" w:rsidRPr="00F40034">
        <w:rPr>
          <w:rFonts w:ascii="Times New Roman" w:hAnsi="Times New Roman"/>
          <w:sz w:val="40"/>
          <w:szCs w:val="30"/>
        </w:rPr>
        <w:t>ÉTABLISSEMENTS</w:t>
      </w:r>
      <w:r w:rsidRPr="00F40034">
        <w:rPr>
          <w:rFonts w:ascii="Times New Roman" w:hAnsi="Times New Roman"/>
          <w:sz w:val="40"/>
          <w:szCs w:val="30"/>
        </w:rPr>
        <w:t xml:space="preserve"> PUBLICS DE L</w:t>
      </w:r>
      <w:r w:rsidR="00EF75FF" w:rsidRPr="00F40034">
        <w:rPr>
          <w:rFonts w:ascii="Times New Roman" w:hAnsi="Times New Roman"/>
          <w:sz w:val="40"/>
          <w:szCs w:val="30"/>
        </w:rPr>
        <w:t>'</w:t>
      </w:r>
      <w:r w:rsidR="00132A25" w:rsidRPr="00F40034">
        <w:rPr>
          <w:rFonts w:ascii="Times New Roman" w:hAnsi="Times New Roman"/>
          <w:sz w:val="40"/>
          <w:szCs w:val="30"/>
        </w:rPr>
        <w:t>ÉTAT</w:t>
      </w:r>
      <w:r w:rsidRPr="00F40034">
        <w:rPr>
          <w:rFonts w:ascii="Times New Roman" w:hAnsi="Times New Roman"/>
          <w:sz w:val="40"/>
          <w:szCs w:val="30"/>
        </w:rPr>
        <w:t xml:space="preserve"> (EPE)</w:t>
      </w:r>
    </w:p>
    <w:p w14:paraId="5281331A" w14:textId="77777777" w:rsidR="005C49D2" w:rsidRPr="00F40034" w:rsidRDefault="005C49D2" w:rsidP="00F0199F">
      <w:pPr>
        <w:pStyle w:val="Titre"/>
        <w:widowControl w:val="0"/>
        <w:pBdr>
          <w:top w:val="single" w:sz="4" w:space="1" w:color="auto"/>
          <w:left w:val="single" w:sz="4" w:space="4" w:color="auto"/>
          <w:bottom w:val="single" w:sz="4" w:space="1" w:color="auto"/>
          <w:right w:val="single" w:sz="4" w:space="4" w:color="auto"/>
        </w:pBdr>
        <w:spacing w:line="240" w:lineRule="auto"/>
        <w:ind w:right="-1"/>
        <w:rPr>
          <w:rFonts w:ascii="Times New Roman" w:hAnsi="Times New Roman"/>
          <w:sz w:val="40"/>
          <w:szCs w:val="30"/>
        </w:rPr>
      </w:pPr>
      <w:r w:rsidRPr="00F40034">
        <w:rPr>
          <w:rFonts w:ascii="Times New Roman" w:hAnsi="Times New Roman"/>
          <w:sz w:val="40"/>
          <w:szCs w:val="30"/>
        </w:rPr>
        <w:t>EXERCICE 20</w:t>
      </w:r>
      <w:r w:rsidR="00954243" w:rsidRPr="00F40034">
        <w:rPr>
          <w:rFonts w:ascii="Times New Roman" w:hAnsi="Times New Roman"/>
          <w:sz w:val="40"/>
          <w:szCs w:val="30"/>
        </w:rPr>
        <w:t>20</w:t>
      </w:r>
    </w:p>
    <w:p w14:paraId="419240F7" w14:textId="77777777" w:rsidR="00963A33" w:rsidRPr="00F40034" w:rsidRDefault="00963A33" w:rsidP="00F0199F">
      <w:pPr>
        <w:widowControl w:val="0"/>
        <w:ind w:right="-1"/>
        <w:jc w:val="both"/>
        <w:rPr>
          <w:rFonts w:eastAsia="Batang"/>
        </w:rPr>
      </w:pPr>
    </w:p>
    <w:p w14:paraId="22D31960" w14:textId="77777777" w:rsidR="00963A33" w:rsidRPr="00F40034" w:rsidRDefault="00963A33" w:rsidP="00F0199F">
      <w:pPr>
        <w:widowControl w:val="0"/>
        <w:ind w:right="-1"/>
        <w:jc w:val="both"/>
        <w:rPr>
          <w:rFonts w:eastAsia="Batang"/>
        </w:rPr>
      </w:pPr>
    </w:p>
    <w:p w14:paraId="178142F5" w14:textId="77777777" w:rsidR="004D7939" w:rsidRPr="00F40034" w:rsidRDefault="005C49D2" w:rsidP="00F0199F">
      <w:pPr>
        <w:pStyle w:val="Corpsdetexte"/>
        <w:widowControl w:val="0"/>
        <w:ind w:right="-1"/>
        <w:jc w:val="both"/>
        <w:rPr>
          <w:b/>
          <w:szCs w:val="24"/>
        </w:rPr>
      </w:pPr>
      <w:r w:rsidRPr="00F40034">
        <w:rPr>
          <w:sz w:val="30"/>
          <w:szCs w:val="30"/>
        </w:rPr>
        <w:br w:type="page"/>
      </w:r>
      <w:r w:rsidR="007C71A3" w:rsidRPr="00F40034">
        <w:rPr>
          <w:b/>
          <w:szCs w:val="24"/>
        </w:rPr>
        <w:lastRenderedPageBreak/>
        <w:t>Excellence Monsieur le Premier m</w:t>
      </w:r>
      <w:r w:rsidR="00114364" w:rsidRPr="00F40034">
        <w:rPr>
          <w:b/>
          <w:szCs w:val="24"/>
        </w:rPr>
        <w:t>inistre, Présiden</w:t>
      </w:r>
      <w:r w:rsidR="00742457" w:rsidRPr="00F40034">
        <w:rPr>
          <w:b/>
          <w:szCs w:val="24"/>
        </w:rPr>
        <w:t>t</w:t>
      </w:r>
      <w:r w:rsidR="00114364" w:rsidRPr="00F40034">
        <w:rPr>
          <w:b/>
          <w:szCs w:val="24"/>
        </w:rPr>
        <w:t xml:space="preserve"> par délégation de </w:t>
      </w:r>
      <w:r w:rsidR="00EF5AAE" w:rsidRPr="00F40034">
        <w:rPr>
          <w:b/>
          <w:szCs w:val="24"/>
        </w:rPr>
        <w:t>l</w:t>
      </w:r>
      <w:r w:rsidR="00EF75FF" w:rsidRPr="00F40034">
        <w:rPr>
          <w:b/>
          <w:szCs w:val="24"/>
        </w:rPr>
        <w:t>'</w:t>
      </w:r>
      <w:r w:rsidR="00EF5AAE" w:rsidRPr="00F40034">
        <w:rPr>
          <w:b/>
          <w:szCs w:val="24"/>
        </w:rPr>
        <w:t xml:space="preserve">Assemblée </w:t>
      </w:r>
      <w:r w:rsidR="007C71A3" w:rsidRPr="00F40034">
        <w:rPr>
          <w:b/>
          <w:szCs w:val="24"/>
        </w:rPr>
        <w:t>g</w:t>
      </w:r>
      <w:r w:rsidR="00EF5AAE" w:rsidRPr="00F40034">
        <w:rPr>
          <w:b/>
          <w:szCs w:val="24"/>
        </w:rPr>
        <w:t xml:space="preserve">énérale des </w:t>
      </w:r>
      <w:r w:rsidR="007C71A3" w:rsidRPr="00F40034">
        <w:rPr>
          <w:b/>
          <w:szCs w:val="24"/>
        </w:rPr>
        <w:t>Établissements</w:t>
      </w:r>
      <w:r w:rsidR="00EF5AAE" w:rsidRPr="00F40034">
        <w:rPr>
          <w:b/>
          <w:szCs w:val="24"/>
        </w:rPr>
        <w:t xml:space="preserve"> </w:t>
      </w:r>
      <w:r w:rsidR="007C71A3" w:rsidRPr="00F40034">
        <w:rPr>
          <w:b/>
          <w:szCs w:val="24"/>
        </w:rPr>
        <w:t>p</w:t>
      </w:r>
      <w:r w:rsidR="00EF5AAE" w:rsidRPr="00F40034">
        <w:rPr>
          <w:b/>
          <w:szCs w:val="24"/>
        </w:rPr>
        <w:t>ublics de l</w:t>
      </w:r>
      <w:r w:rsidR="00EF75FF" w:rsidRPr="00F40034">
        <w:rPr>
          <w:b/>
          <w:szCs w:val="24"/>
        </w:rPr>
        <w:t>'</w:t>
      </w:r>
      <w:r w:rsidR="007C71A3" w:rsidRPr="00F40034">
        <w:rPr>
          <w:b/>
          <w:szCs w:val="24"/>
        </w:rPr>
        <w:t>État (AG/EPE),</w:t>
      </w:r>
    </w:p>
    <w:p w14:paraId="54F264A1" w14:textId="77777777" w:rsidR="00483A9E" w:rsidRPr="00F40034" w:rsidRDefault="00483A9E" w:rsidP="00F0199F">
      <w:pPr>
        <w:pStyle w:val="Corpsdetexte"/>
        <w:widowControl w:val="0"/>
        <w:ind w:right="-1"/>
        <w:jc w:val="both"/>
        <w:rPr>
          <w:b/>
          <w:szCs w:val="24"/>
        </w:rPr>
      </w:pPr>
      <w:r w:rsidRPr="00F40034">
        <w:rPr>
          <w:b/>
          <w:bCs/>
          <w:szCs w:val="24"/>
        </w:rPr>
        <w:t xml:space="preserve">Mesdames et Messieurs les </w:t>
      </w:r>
      <w:r w:rsidR="007C71A3" w:rsidRPr="00F40034">
        <w:rPr>
          <w:b/>
          <w:bCs/>
          <w:szCs w:val="24"/>
        </w:rPr>
        <w:t>m</w:t>
      </w:r>
      <w:r w:rsidRPr="00F40034">
        <w:rPr>
          <w:b/>
          <w:bCs/>
          <w:szCs w:val="24"/>
        </w:rPr>
        <w:t xml:space="preserve">embres du </w:t>
      </w:r>
      <w:r w:rsidR="00707E1F" w:rsidRPr="00F40034">
        <w:rPr>
          <w:b/>
          <w:bCs/>
          <w:szCs w:val="24"/>
        </w:rPr>
        <w:t>G</w:t>
      </w:r>
      <w:r w:rsidR="007C71A3" w:rsidRPr="00F40034">
        <w:rPr>
          <w:b/>
          <w:bCs/>
          <w:szCs w:val="24"/>
        </w:rPr>
        <w:t>ouvernement,</w:t>
      </w:r>
    </w:p>
    <w:p w14:paraId="720B5418" w14:textId="77777777" w:rsidR="00742457" w:rsidRPr="00F40034" w:rsidRDefault="00742457" w:rsidP="00F0199F">
      <w:pPr>
        <w:pStyle w:val="Corpsdetexte"/>
        <w:widowControl w:val="0"/>
        <w:ind w:right="-1"/>
        <w:jc w:val="both"/>
        <w:rPr>
          <w:b/>
          <w:szCs w:val="24"/>
        </w:rPr>
      </w:pPr>
      <w:r w:rsidRPr="00F40034">
        <w:rPr>
          <w:b/>
          <w:szCs w:val="24"/>
        </w:rPr>
        <w:t>Mesdames et Messieurs les Présidents de Conseil d</w:t>
      </w:r>
      <w:r w:rsidR="00EF75FF" w:rsidRPr="00F40034">
        <w:rPr>
          <w:b/>
          <w:szCs w:val="24"/>
        </w:rPr>
        <w:t>'</w:t>
      </w:r>
      <w:r w:rsidR="007D56F6" w:rsidRPr="00F40034">
        <w:rPr>
          <w:b/>
          <w:szCs w:val="24"/>
        </w:rPr>
        <w:t>a</w:t>
      </w:r>
      <w:r w:rsidRPr="00F40034">
        <w:rPr>
          <w:b/>
          <w:szCs w:val="24"/>
        </w:rPr>
        <w:t xml:space="preserve">dministration </w:t>
      </w:r>
      <w:r w:rsidR="00F95A5B" w:rsidRPr="00F40034">
        <w:rPr>
          <w:b/>
          <w:szCs w:val="24"/>
        </w:rPr>
        <w:t xml:space="preserve">(PCA) </w:t>
      </w:r>
      <w:r w:rsidRPr="00F40034">
        <w:rPr>
          <w:b/>
          <w:szCs w:val="24"/>
        </w:rPr>
        <w:t xml:space="preserve">et Directeurs </w:t>
      </w:r>
      <w:r w:rsidR="007C71A3" w:rsidRPr="00F40034">
        <w:rPr>
          <w:b/>
          <w:szCs w:val="24"/>
        </w:rPr>
        <w:t xml:space="preserve">généraux </w:t>
      </w:r>
      <w:r w:rsidR="00213C9C">
        <w:rPr>
          <w:b/>
          <w:szCs w:val="24"/>
        </w:rPr>
        <w:t xml:space="preserve">(DG) </w:t>
      </w:r>
      <w:r w:rsidR="007C71A3" w:rsidRPr="00F40034">
        <w:rPr>
          <w:b/>
          <w:szCs w:val="24"/>
        </w:rPr>
        <w:t>des EPE,</w:t>
      </w:r>
    </w:p>
    <w:p w14:paraId="37A6143B" w14:textId="77777777" w:rsidR="00742457" w:rsidRPr="00F40034" w:rsidRDefault="007C71A3" w:rsidP="00F0199F">
      <w:pPr>
        <w:pStyle w:val="Corpsdetexte"/>
        <w:widowControl w:val="0"/>
        <w:ind w:right="-1"/>
        <w:jc w:val="both"/>
        <w:rPr>
          <w:b/>
          <w:szCs w:val="24"/>
        </w:rPr>
      </w:pPr>
      <w:r w:rsidRPr="00F40034">
        <w:rPr>
          <w:b/>
          <w:szCs w:val="24"/>
        </w:rPr>
        <w:t>Mesdames et Messieurs</w:t>
      </w:r>
      <w:r w:rsidR="0049405B" w:rsidRPr="00F40034">
        <w:rPr>
          <w:b/>
          <w:szCs w:val="24"/>
        </w:rPr>
        <w:t>,</w:t>
      </w:r>
    </w:p>
    <w:p w14:paraId="7962EA7B" w14:textId="77777777" w:rsidR="00A00072" w:rsidRDefault="00A00072" w:rsidP="00F0199F">
      <w:pPr>
        <w:widowControl w:val="0"/>
        <w:ind w:right="-1"/>
        <w:jc w:val="both"/>
      </w:pPr>
    </w:p>
    <w:p w14:paraId="62CA62B9" w14:textId="77777777" w:rsidR="007B7FA5" w:rsidRPr="00F40034" w:rsidRDefault="002447F9" w:rsidP="00F0199F">
      <w:pPr>
        <w:widowControl w:val="0"/>
        <w:ind w:right="-1"/>
        <w:jc w:val="both"/>
      </w:pPr>
      <w:r w:rsidRPr="00F40034">
        <w:t xml:space="preserve">Conformément aux textes qui régissent son organisation, l'Assemblée générale des </w:t>
      </w:r>
      <w:r w:rsidR="00A00072" w:rsidRPr="00F40034">
        <w:t>É</w:t>
      </w:r>
      <w:r w:rsidRPr="00F40034">
        <w:t>tablissements publics de l'État (AG/EPE) délibère sur toutes les questions relatives</w:t>
      </w:r>
      <w:r w:rsidR="007B7FA5" w:rsidRPr="00F40034">
        <w:t>, entre autres, aux rapports de gestion des Conseils d'administration (CA), aux rapports des Commissaires aux comptes (CC), aux comptes administratifs et de gestion qui sont soumis,</w:t>
      </w:r>
      <w:r w:rsidR="007D56F6" w:rsidRPr="00F40034">
        <w:t xml:space="preserve"> ainsi qu’</w:t>
      </w:r>
      <w:r w:rsidR="007B7FA5" w:rsidRPr="00F40034">
        <w:t>aux éta</w:t>
      </w:r>
      <w:r w:rsidR="003F2118" w:rsidRPr="00F40034">
        <w:t>ts financiers annuels éventuels.</w:t>
      </w:r>
    </w:p>
    <w:p w14:paraId="093A3EBC" w14:textId="77777777" w:rsidR="00A00072" w:rsidRDefault="00A00072" w:rsidP="00F0199F">
      <w:pPr>
        <w:widowControl w:val="0"/>
        <w:ind w:right="-1"/>
        <w:jc w:val="both"/>
      </w:pPr>
    </w:p>
    <w:p w14:paraId="1A855883" w14:textId="77777777" w:rsidR="00FF6C7B" w:rsidRDefault="00A00072" w:rsidP="00F0199F">
      <w:pPr>
        <w:widowControl w:val="0"/>
        <w:ind w:right="-1"/>
        <w:jc w:val="both"/>
      </w:pPr>
      <w:r>
        <w:t>L</w:t>
      </w:r>
      <w:r w:rsidR="002447F9" w:rsidRPr="00F40034">
        <w:t xml:space="preserve">a présente </w:t>
      </w:r>
      <w:r w:rsidR="000A7722" w:rsidRPr="00F40034">
        <w:t>session</w:t>
      </w:r>
      <w:r w:rsidR="00FF6C7B" w:rsidRPr="00F40034">
        <w:t>, 2</w:t>
      </w:r>
      <w:r w:rsidR="003F2118" w:rsidRPr="00F40034">
        <w:t>2</w:t>
      </w:r>
      <w:r>
        <w:t>e</w:t>
      </w:r>
      <w:r w:rsidR="003F2118" w:rsidRPr="00F40034">
        <w:t xml:space="preserve"> </w:t>
      </w:r>
      <w:r w:rsidR="00FF6C7B" w:rsidRPr="00F40034">
        <w:t>du genre,</w:t>
      </w:r>
      <w:r w:rsidR="000A7722" w:rsidRPr="00F40034">
        <w:t xml:space="preserve"> </w:t>
      </w:r>
      <w:r w:rsidRPr="00F40034">
        <w:t>a pour thème : « </w:t>
      </w:r>
      <w:r w:rsidRPr="00A00072">
        <w:rPr>
          <w:i/>
        </w:rPr>
        <w:t xml:space="preserve">La qualité des services rendus aux usagers des </w:t>
      </w:r>
      <w:r>
        <w:rPr>
          <w:i/>
        </w:rPr>
        <w:t>É</w:t>
      </w:r>
      <w:r w:rsidRPr="00A00072">
        <w:rPr>
          <w:i/>
        </w:rPr>
        <w:t>tablissements Publics de l’</w:t>
      </w:r>
      <w:r>
        <w:rPr>
          <w:i/>
        </w:rPr>
        <w:t>É</w:t>
      </w:r>
      <w:r w:rsidRPr="00A00072">
        <w:rPr>
          <w:i/>
        </w:rPr>
        <w:t>tat (EPE) : enjeux, mesures et perspectives</w:t>
      </w:r>
      <w:r>
        <w:t> ». Elle</w:t>
      </w:r>
      <w:r w:rsidRPr="00F40034">
        <w:t xml:space="preserve"> </w:t>
      </w:r>
      <w:r w:rsidR="007B7FA5" w:rsidRPr="00F40034">
        <w:t>va</w:t>
      </w:r>
      <w:r w:rsidR="000A7722" w:rsidRPr="00F40034">
        <w:t xml:space="preserve"> délibérer sur les </w:t>
      </w:r>
      <w:r w:rsidR="00A7745E" w:rsidRPr="00F40034">
        <w:t xml:space="preserve">rapports de gestion des </w:t>
      </w:r>
      <w:r>
        <w:t>CA</w:t>
      </w:r>
      <w:r w:rsidR="00010A21" w:rsidRPr="00F40034">
        <w:t>, l</w:t>
      </w:r>
      <w:r w:rsidR="00A7745E" w:rsidRPr="00F40034">
        <w:t>es rapports d'</w:t>
      </w:r>
      <w:r w:rsidR="00010A21" w:rsidRPr="00F40034">
        <w:t>activités</w:t>
      </w:r>
      <w:r w:rsidR="00C53F62">
        <w:t xml:space="preserve"> et</w:t>
      </w:r>
      <w:r w:rsidR="00010A21" w:rsidRPr="00F40034">
        <w:t xml:space="preserve"> l</w:t>
      </w:r>
      <w:r w:rsidR="00A7745E" w:rsidRPr="00F40034">
        <w:t>es états financiers de l'</w:t>
      </w:r>
      <w:r w:rsidR="00010A21" w:rsidRPr="00F40034">
        <w:t>exercice 20</w:t>
      </w:r>
      <w:r w:rsidR="003F2118" w:rsidRPr="00F40034">
        <w:t>20</w:t>
      </w:r>
      <w:r w:rsidR="00010A21" w:rsidRPr="00F40034">
        <w:t xml:space="preserve"> </w:t>
      </w:r>
      <w:r w:rsidR="00615E22" w:rsidRPr="00F40034">
        <w:t xml:space="preserve">de </w:t>
      </w:r>
      <w:r w:rsidR="00010A21" w:rsidRPr="00F40034">
        <w:t>1</w:t>
      </w:r>
      <w:r w:rsidR="003F2118" w:rsidRPr="00F40034">
        <w:t>12</w:t>
      </w:r>
      <w:r w:rsidR="00010A21" w:rsidRPr="00F40034">
        <w:t xml:space="preserve"> </w:t>
      </w:r>
      <w:r w:rsidRPr="00F40034">
        <w:t xml:space="preserve">Établissements publics de l'État </w:t>
      </w:r>
      <w:r>
        <w:t>(</w:t>
      </w:r>
      <w:r w:rsidR="00010A21" w:rsidRPr="00F40034">
        <w:t>EPE</w:t>
      </w:r>
      <w:r>
        <w:t>)</w:t>
      </w:r>
      <w:r w:rsidR="00010A21" w:rsidRPr="00F40034">
        <w:t xml:space="preserve"> </w:t>
      </w:r>
      <w:r w:rsidR="004C1BE4" w:rsidRPr="00F40034">
        <w:t xml:space="preserve">dont </w:t>
      </w:r>
      <w:r w:rsidR="00010A21" w:rsidRPr="00F40034">
        <w:t>1</w:t>
      </w:r>
      <w:r w:rsidR="003F2118" w:rsidRPr="00F40034">
        <w:t>8</w:t>
      </w:r>
      <w:r w:rsidR="00010A21" w:rsidRPr="00F40034">
        <w:t xml:space="preserve"> Fonds n</w:t>
      </w:r>
      <w:r w:rsidR="00A7745E" w:rsidRPr="00F40034">
        <w:t>ationaux</w:t>
      </w:r>
      <w:r w:rsidR="00010A21" w:rsidRPr="00F40034">
        <w:t xml:space="preserve"> (FN)</w:t>
      </w:r>
      <w:r w:rsidR="00C53F62">
        <w:t>, de même qu’elle</w:t>
      </w:r>
      <w:r w:rsidR="00615E22" w:rsidRPr="00F40034">
        <w:t xml:space="preserve"> procèdera </w:t>
      </w:r>
      <w:r w:rsidR="00A7745E" w:rsidRPr="00F40034">
        <w:t>à l'</w:t>
      </w:r>
      <w:r w:rsidR="00017D8B" w:rsidRPr="00F40034">
        <w:t>audition des</w:t>
      </w:r>
      <w:r w:rsidR="00A7745E" w:rsidRPr="00F40034">
        <w:t xml:space="preserve"> rapports d'explic</w:t>
      </w:r>
      <w:r w:rsidR="00017D8B" w:rsidRPr="00F40034">
        <w:t xml:space="preserve">ation présentés par </w:t>
      </w:r>
      <w:r w:rsidR="00B11819">
        <w:t>4</w:t>
      </w:r>
      <w:r w:rsidR="00E2525E">
        <w:t xml:space="preserve"> EPE</w:t>
      </w:r>
      <w:r w:rsidR="00C53F62">
        <w:t xml:space="preserve"> n’ayant pas pu disposer des rapports et états financiers requis</w:t>
      </w:r>
      <w:r w:rsidR="00E2525E">
        <w:t>.</w:t>
      </w:r>
    </w:p>
    <w:p w14:paraId="08A1657F" w14:textId="77777777" w:rsidR="00A00072" w:rsidRPr="00F40034" w:rsidRDefault="00A00072" w:rsidP="00F0199F">
      <w:pPr>
        <w:widowControl w:val="0"/>
        <w:ind w:right="-1"/>
        <w:jc w:val="both"/>
      </w:pPr>
    </w:p>
    <w:p w14:paraId="32BF6CB0" w14:textId="77777777" w:rsidR="00132A25" w:rsidRDefault="008B0CBD" w:rsidP="00F0199F">
      <w:pPr>
        <w:widowControl w:val="0"/>
        <w:ind w:right="-1"/>
        <w:jc w:val="both"/>
      </w:pPr>
      <w:r w:rsidRPr="00F40034">
        <w:t>L</w:t>
      </w:r>
      <w:r w:rsidR="00132A25" w:rsidRPr="00F40034">
        <w:t xml:space="preserve">e </w:t>
      </w:r>
      <w:r w:rsidR="00DF5723" w:rsidRPr="00DF5723">
        <w:rPr>
          <w:i/>
        </w:rPr>
        <w:t>R</w:t>
      </w:r>
      <w:r w:rsidR="00132A25" w:rsidRPr="00DF5723">
        <w:rPr>
          <w:i/>
        </w:rPr>
        <w:t>apport du Secrétariat de l'AG/EPE sur la gestion des EPE, exercice 20</w:t>
      </w:r>
      <w:r w:rsidR="00E073D5" w:rsidRPr="00DF5723">
        <w:rPr>
          <w:i/>
        </w:rPr>
        <w:t>20</w:t>
      </w:r>
      <w:r w:rsidR="00C57867" w:rsidRPr="00F40034">
        <w:t>, que nous avons l'honneur de vous présenter</w:t>
      </w:r>
      <w:r w:rsidR="00FB18E9" w:rsidRPr="00F40034">
        <w:t xml:space="preserve"> comprend</w:t>
      </w:r>
      <w:r w:rsidR="00403B5C" w:rsidRPr="00F40034">
        <w:t> : (i)</w:t>
      </w:r>
      <w:r w:rsidR="00FB18E9" w:rsidRPr="00F40034">
        <w:t xml:space="preserve"> </w:t>
      </w:r>
      <w:r w:rsidR="004D71EC" w:rsidRPr="00F40034">
        <w:t xml:space="preserve">l'état de </w:t>
      </w:r>
      <w:r w:rsidR="00BF7717" w:rsidRPr="00F40034">
        <w:t xml:space="preserve">la </w:t>
      </w:r>
      <w:r w:rsidR="004D71EC" w:rsidRPr="00F40034">
        <w:t xml:space="preserve">mise en œuvre des résolutions et recommandations de la </w:t>
      </w:r>
      <w:r w:rsidR="005F0A26" w:rsidRPr="00F40034">
        <w:t>2</w:t>
      </w:r>
      <w:r w:rsidR="00E073D5" w:rsidRPr="00F40034">
        <w:t>1</w:t>
      </w:r>
      <w:r w:rsidR="00A00072">
        <w:t>e</w:t>
      </w:r>
      <w:r w:rsidR="00E073D5" w:rsidRPr="00F40034">
        <w:t xml:space="preserve"> </w:t>
      </w:r>
      <w:r w:rsidR="00F22540" w:rsidRPr="00F40034">
        <w:t>session,</w:t>
      </w:r>
      <w:r w:rsidR="00CC3113" w:rsidRPr="00F40034">
        <w:t xml:space="preserve"> </w:t>
      </w:r>
      <w:r w:rsidR="005F0A26" w:rsidRPr="00F40034">
        <w:t>(ii)</w:t>
      </w:r>
      <w:r w:rsidR="00CC3113" w:rsidRPr="00F40034">
        <w:t xml:space="preserve"> </w:t>
      </w:r>
      <w:r w:rsidR="008C1947">
        <w:t xml:space="preserve">le fonctionnement des EPE et (iii) </w:t>
      </w:r>
      <w:r w:rsidR="00CC3113" w:rsidRPr="00F40034">
        <w:t>l'analyse de la situation financière</w:t>
      </w:r>
      <w:r w:rsidR="00A7745E" w:rsidRPr="00F40034">
        <w:t xml:space="preserve"> des EPE.</w:t>
      </w:r>
    </w:p>
    <w:p w14:paraId="74B97493" w14:textId="77777777" w:rsidR="00A00072" w:rsidRPr="00F40034" w:rsidRDefault="00A00072" w:rsidP="00F0199F">
      <w:pPr>
        <w:widowControl w:val="0"/>
        <w:ind w:right="-1"/>
        <w:jc w:val="both"/>
      </w:pPr>
    </w:p>
    <w:p w14:paraId="09BA270A" w14:textId="77777777" w:rsidR="00132A25" w:rsidRPr="00F40034" w:rsidRDefault="003527B4" w:rsidP="00F0199F">
      <w:pPr>
        <w:pStyle w:val="Corpsdetexte"/>
        <w:widowControl w:val="0"/>
        <w:numPr>
          <w:ilvl w:val="0"/>
          <w:numId w:val="26"/>
        </w:numPr>
        <w:ind w:left="284" w:right="-1" w:hanging="284"/>
        <w:jc w:val="both"/>
        <w:rPr>
          <w:b/>
          <w:szCs w:val="24"/>
        </w:rPr>
      </w:pPr>
      <w:r w:rsidRPr="00F40034">
        <w:rPr>
          <w:b/>
          <w:szCs w:val="24"/>
        </w:rPr>
        <w:t xml:space="preserve">Etat de la mise en œuvre des résolutions et recommandations de la </w:t>
      </w:r>
      <w:r w:rsidR="005F0A26" w:rsidRPr="00F40034">
        <w:rPr>
          <w:b/>
          <w:szCs w:val="24"/>
        </w:rPr>
        <w:t>2</w:t>
      </w:r>
      <w:r w:rsidR="00E073D5" w:rsidRPr="00F40034">
        <w:rPr>
          <w:b/>
          <w:szCs w:val="24"/>
        </w:rPr>
        <w:t>1</w:t>
      </w:r>
      <w:r w:rsidR="003564E9">
        <w:rPr>
          <w:b/>
          <w:szCs w:val="24"/>
        </w:rPr>
        <w:t>e</w:t>
      </w:r>
      <w:r w:rsidR="00E073D5" w:rsidRPr="00F40034">
        <w:rPr>
          <w:b/>
          <w:szCs w:val="24"/>
        </w:rPr>
        <w:t xml:space="preserve"> </w:t>
      </w:r>
      <w:r w:rsidRPr="00F40034">
        <w:rPr>
          <w:b/>
          <w:szCs w:val="24"/>
        </w:rPr>
        <w:t>session</w:t>
      </w:r>
    </w:p>
    <w:p w14:paraId="45785305" w14:textId="77777777" w:rsidR="00614860" w:rsidRDefault="00614860" w:rsidP="00F0199F">
      <w:pPr>
        <w:widowControl w:val="0"/>
        <w:ind w:right="-1"/>
        <w:jc w:val="both"/>
      </w:pPr>
    </w:p>
    <w:p w14:paraId="3415BCFC" w14:textId="77777777" w:rsidR="0003709B" w:rsidRDefault="00A93779" w:rsidP="00F0199F">
      <w:pPr>
        <w:widowControl w:val="0"/>
        <w:ind w:right="-1"/>
        <w:jc w:val="both"/>
      </w:pPr>
      <w:r>
        <w:t>S</w:t>
      </w:r>
      <w:r w:rsidR="0003709B">
        <w:t xml:space="preserve">ur l’ensemble des </w:t>
      </w:r>
      <w:r>
        <w:t xml:space="preserve">six résolutions </w:t>
      </w:r>
      <w:r w:rsidR="0003709B">
        <w:t>adoptées</w:t>
      </w:r>
      <w:r w:rsidR="00272834">
        <w:t xml:space="preserve"> par la 21e session de l’AG/EPE</w:t>
      </w:r>
      <w:r w:rsidR="0003709B">
        <w:t xml:space="preserve">, </w:t>
      </w:r>
      <w:r>
        <w:t>trois</w:t>
      </w:r>
      <w:r w:rsidR="0003709B">
        <w:t xml:space="preserve"> ont effectivement été mises en œuvre </w:t>
      </w:r>
      <w:r>
        <w:t>et</w:t>
      </w:r>
      <w:r w:rsidR="0003709B">
        <w:t xml:space="preserve"> trois sont en cours d’exécution.</w:t>
      </w:r>
    </w:p>
    <w:p w14:paraId="40FFE50A" w14:textId="77777777" w:rsidR="0003709B" w:rsidRDefault="0003709B" w:rsidP="00F0199F">
      <w:pPr>
        <w:widowControl w:val="0"/>
        <w:ind w:right="-1"/>
        <w:jc w:val="both"/>
      </w:pPr>
    </w:p>
    <w:p w14:paraId="34029423" w14:textId="77777777" w:rsidR="0003709B" w:rsidRDefault="0003709B" w:rsidP="00F0199F">
      <w:pPr>
        <w:widowControl w:val="0"/>
        <w:ind w:right="-1"/>
        <w:jc w:val="both"/>
      </w:pPr>
      <w:r>
        <w:t>Les trois résolutions mises en œuvre sont :</w:t>
      </w:r>
    </w:p>
    <w:p w14:paraId="61F9E4F2" w14:textId="77777777" w:rsidR="0003709B" w:rsidRDefault="0003709B" w:rsidP="00F0199F">
      <w:pPr>
        <w:widowControl w:val="0"/>
        <w:ind w:right="-1"/>
        <w:jc w:val="both"/>
      </w:pPr>
    </w:p>
    <w:p w14:paraId="4AD0F6C6" w14:textId="77777777" w:rsidR="00E36A99" w:rsidRPr="0003709B" w:rsidRDefault="003A41A3"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Pr>
          <w:rFonts w:ascii="Times New Roman" w:hAnsi="Times New Roman"/>
          <w:sz w:val="24"/>
          <w:szCs w:val="24"/>
        </w:rPr>
        <w:t>l</w:t>
      </w:r>
      <w:r w:rsidR="00E36A99" w:rsidRPr="0003709B">
        <w:rPr>
          <w:rFonts w:ascii="Times New Roman" w:hAnsi="Times New Roman"/>
          <w:sz w:val="24"/>
          <w:szCs w:val="24"/>
        </w:rPr>
        <w:t>a</w:t>
      </w:r>
      <w:proofErr w:type="gramEnd"/>
      <w:r w:rsidR="00E36A99" w:rsidRPr="0003709B">
        <w:rPr>
          <w:rFonts w:ascii="Times New Roman" w:hAnsi="Times New Roman"/>
          <w:sz w:val="24"/>
          <w:szCs w:val="24"/>
        </w:rPr>
        <w:t xml:space="preserve"> </w:t>
      </w:r>
      <w:r w:rsidR="00E36A99" w:rsidRPr="0003709B">
        <w:rPr>
          <w:rFonts w:ascii="Times New Roman" w:hAnsi="Times New Roman"/>
          <w:i/>
          <w:sz w:val="24"/>
          <w:szCs w:val="24"/>
        </w:rPr>
        <w:t>Résolution n°</w:t>
      </w:r>
      <w:r w:rsidR="00016A5E" w:rsidRPr="0003709B">
        <w:rPr>
          <w:rFonts w:ascii="Times New Roman" w:hAnsi="Times New Roman"/>
          <w:i/>
          <w:sz w:val="24"/>
          <w:szCs w:val="24"/>
        </w:rPr>
        <w:t xml:space="preserve"> </w:t>
      </w:r>
      <w:r w:rsidR="00E36A99" w:rsidRPr="0003709B">
        <w:rPr>
          <w:rFonts w:ascii="Times New Roman" w:hAnsi="Times New Roman"/>
          <w:i/>
          <w:sz w:val="24"/>
          <w:szCs w:val="24"/>
        </w:rPr>
        <w:t>20</w:t>
      </w:r>
      <w:r w:rsidR="00E073D5" w:rsidRPr="0003709B">
        <w:rPr>
          <w:rFonts w:ascii="Times New Roman" w:hAnsi="Times New Roman"/>
          <w:i/>
          <w:sz w:val="24"/>
          <w:szCs w:val="24"/>
        </w:rPr>
        <w:t>20</w:t>
      </w:r>
      <w:r w:rsidR="00E36A99" w:rsidRPr="0003709B">
        <w:rPr>
          <w:rFonts w:ascii="Times New Roman" w:hAnsi="Times New Roman"/>
          <w:i/>
          <w:sz w:val="24"/>
          <w:szCs w:val="24"/>
        </w:rPr>
        <w:t xml:space="preserve">-01/AG-EPE relative à l’approbation des rapports de gestion des </w:t>
      </w:r>
      <w:r w:rsidR="00F95A5B" w:rsidRPr="0003709B">
        <w:rPr>
          <w:rFonts w:ascii="Times New Roman" w:hAnsi="Times New Roman"/>
          <w:i/>
          <w:sz w:val="24"/>
          <w:szCs w:val="24"/>
        </w:rPr>
        <w:t>CA</w:t>
      </w:r>
      <w:r w:rsidR="00E36A99" w:rsidRPr="0003709B">
        <w:rPr>
          <w:rFonts w:ascii="Times New Roman" w:hAnsi="Times New Roman"/>
          <w:i/>
          <w:sz w:val="24"/>
          <w:szCs w:val="24"/>
        </w:rPr>
        <w:t xml:space="preserve"> et des états financiers de l’exercice 201</w:t>
      </w:r>
      <w:r w:rsidR="00E073D5" w:rsidRPr="0003709B">
        <w:rPr>
          <w:rFonts w:ascii="Times New Roman" w:hAnsi="Times New Roman"/>
          <w:i/>
          <w:sz w:val="24"/>
          <w:szCs w:val="24"/>
        </w:rPr>
        <w:t>9</w:t>
      </w:r>
      <w:r w:rsidR="00E36A99" w:rsidRPr="0003709B">
        <w:rPr>
          <w:rFonts w:ascii="Times New Roman" w:hAnsi="Times New Roman"/>
          <w:i/>
          <w:sz w:val="24"/>
          <w:szCs w:val="24"/>
        </w:rPr>
        <w:t xml:space="preserve"> et donnant quitus aux administrateurs pour leur gestion durant l’exercice 201</w:t>
      </w:r>
      <w:r w:rsidR="00E073D5" w:rsidRPr="0003709B">
        <w:rPr>
          <w:rFonts w:ascii="Times New Roman" w:hAnsi="Times New Roman"/>
          <w:i/>
          <w:sz w:val="24"/>
          <w:szCs w:val="24"/>
        </w:rPr>
        <w:t>9</w:t>
      </w:r>
      <w:r w:rsidR="00E36A99" w:rsidRPr="0003709B">
        <w:rPr>
          <w:rFonts w:ascii="Times New Roman" w:hAnsi="Times New Roman"/>
          <w:sz w:val="24"/>
          <w:szCs w:val="24"/>
        </w:rPr>
        <w:t>,</w:t>
      </w:r>
    </w:p>
    <w:p w14:paraId="4D97E21F" w14:textId="77777777" w:rsidR="00614860" w:rsidRPr="00F40034" w:rsidRDefault="00614860" w:rsidP="00F0199F">
      <w:pPr>
        <w:widowControl w:val="0"/>
        <w:ind w:right="-1"/>
        <w:jc w:val="both"/>
      </w:pPr>
    </w:p>
    <w:p w14:paraId="56CA9115" w14:textId="77777777" w:rsidR="00E36A99" w:rsidRPr="003A41A3" w:rsidRDefault="00E36A99"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sidRPr="003A41A3">
        <w:rPr>
          <w:rFonts w:ascii="Times New Roman" w:hAnsi="Times New Roman"/>
          <w:sz w:val="24"/>
          <w:szCs w:val="24"/>
        </w:rPr>
        <w:t>la</w:t>
      </w:r>
      <w:proofErr w:type="gramEnd"/>
      <w:r w:rsidRPr="003A41A3">
        <w:rPr>
          <w:rFonts w:ascii="Times New Roman" w:hAnsi="Times New Roman"/>
          <w:sz w:val="24"/>
          <w:szCs w:val="24"/>
        </w:rPr>
        <w:t xml:space="preserve"> </w:t>
      </w:r>
      <w:r w:rsidRPr="003A41A3">
        <w:rPr>
          <w:rFonts w:ascii="Times New Roman" w:hAnsi="Times New Roman"/>
          <w:i/>
          <w:sz w:val="24"/>
          <w:szCs w:val="24"/>
        </w:rPr>
        <w:t xml:space="preserve">Résolution </w:t>
      </w:r>
      <w:r w:rsidR="001B40F3" w:rsidRPr="003A41A3">
        <w:rPr>
          <w:rFonts w:ascii="Times New Roman" w:hAnsi="Times New Roman"/>
          <w:i/>
          <w:sz w:val="24"/>
          <w:szCs w:val="24"/>
        </w:rPr>
        <w:t>n</w:t>
      </w:r>
      <w:r w:rsidRPr="003A41A3">
        <w:rPr>
          <w:rFonts w:ascii="Times New Roman" w:hAnsi="Times New Roman"/>
          <w:i/>
          <w:sz w:val="24"/>
          <w:szCs w:val="24"/>
        </w:rPr>
        <w:t>° 20</w:t>
      </w:r>
      <w:r w:rsidR="00E073D5" w:rsidRPr="003A41A3">
        <w:rPr>
          <w:rFonts w:ascii="Times New Roman" w:hAnsi="Times New Roman"/>
          <w:i/>
          <w:sz w:val="24"/>
          <w:szCs w:val="24"/>
        </w:rPr>
        <w:t>20</w:t>
      </w:r>
      <w:r w:rsidRPr="003A41A3">
        <w:rPr>
          <w:rFonts w:ascii="Times New Roman" w:hAnsi="Times New Roman"/>
          <w:i/>
          <w:sz w:val="24"/>
          <w:szCs w:val="24"/>
        </w:rPr>
        <w:t>-02/AG-EPE relative aux conclusions de l’examen des rapports d’explication présentés par</w:t>
      </w:r>
      <w:r w:rsidR="00E073D5" w:rsidRPr="003A41A3">
        <w:rPr>
          <w:rFonts w:ascii="Times New Roman" w:hAnsi="Times New Roman"/>
          <w:i/>
          <w:sz w:val="24"/>
          <w:szCs w:val="24"/>
        </w:rPr>
        <w:t xml:space="preserve"> l’Agence </w:t>
      </w:r>
      <w:r w:rsidR="003A41A3">
        <w:rPr>
          <w:rFonts w:ascii="Times New Roman" w:hAnsi="Times New Roman"/>
          <w:i/>
          <w:sz w:val="24"/>
          <w:szCs w:val="24"/>
        </w:rPr>
        <w:t>n</w:t>
      </w:r>
      <w:r w:rsidR="00E073D5" w:rsidRPr="003A41A3">
        <w:rPr>
          <w:rFonts w:ascii="Times New Roman" w:hAnsi="Times New Roman"/>
          <w:i/>
          <w:sz w:val="24"/>
          <w:szCs w:val="24"/>
        </w:rPr>
        <w:t xml:space="preserve">ationale de </w:t>
      </w:r>
      <w:r w:rsidR="003A41A3">
        <w:rPr>
          <w:rFonts w:ascii="Times New Roman" w:hAnsi="Times New Roman"/>
          <w:i/>
          <w:sz w:val="24"/>
          <w:szCs w:val="24"/>
        </w:rPr>
        <w:t>r</w:t>
      </w:r>
      <w:r w:rsidR="00E073D5" w:rsidRPr="003A41A3">
        <w:rPr>
          <w:rFonts w:ascii="Times New Roman" w:hAnsi="Times New Roman"/>
          <w:i/>
          <w:sz w:val="24"/>
          <w:szCs w:val="24"/>
        </w:rPr>
        <w:t xml:space="preserve">égulation </w:t>
      </w:r>
      <w:r w:rsidR="003A41A3">
        <w:rPr>
          <w:rFonts w:ascii="Times New Roman" w:hAnsi="Times New Roman"/>
          <w:i/>
          <w:sz w:val="24"/>
          <w:szCs w:val="24"/>
        </w:rPr>
        <w:t>p</w:t>
      </w:r>
      <w:r w:rsidR="00E073D5" w:rsidRPr="003A41A3">
        <w:rPr>
          <w:rFonts w:ascii="Times New Roman" w:hAnsi="Times New Roman"/>
          <w:i/>
          <w:sz w:val="24"/>
          <w:szCs w:val="24"/>
        </w:rPr>
        <w:t xml:space="preserve">harmaceutique (ANRP) et le Conseil </w:t>
      </w:r>
      <w:r w:rsidR="003A41A3">
        <w:rPr>
          <w:rFonts w:ascii="Times New Roman" w:hAnsi="Times New Roman"/>
          <w:i/>
          <w:sz w:val="24"/>
          <w:szCs w:val="24"/>
        </w:rPr>
        <w:t>b</w:t>
      </w:r>
      <w:r w:rsidR="00E073D5" w:rsidRPr="003A41A3">
        <w:rPr>
          <w:rFonts w:ascii="Times New Roman" w:hAnsi="Times New Roman"/>
          <w:i/>
          <w:sz w:val="24"/>
          <w:szCs w:val="24"/>
        </w:rPr>
        <w:t>urkinabè de l'</w:t>
      </w:r>
      <w:r w:rsidR="003A41A3">
        <w:rPr>
          <w:rFonts w:ascii="Times New Roman" w:hAnsi="Times New Roman"/>
          <w:i/>
          <w:sz w:val="24"/>
          <w:szCs w:val="24"/>
        </w:rPr>
        <w:t>a</w:t>
      </w:r>
      <w:r w:rsidR="00E073D5" w:rsidRPr="003A41A3">
        <w:rPr>
          <w:rFonts w:ascii="Times New Roman" w:hAnsi="Times New Roman"/>
          <w:i/>
          <w:sz w:val="24"/>
          <w:szCs w:val="24"/>
        </w:rPr>
        <w:t>nacarde (CBA)</w:t>
      </w:r>
      <w:r w:rsidR="00E073D5" w:rsidRPr="003A41A3">
        <w:rPr>
          <w:rFonts w:ascii="Times New Roman" w:hAnsi="Times New Roman"/>
          <w:b/>
          <w:sz w:val="24"/>
          <w:szCs w:val="24"/>
        </w:rPr>
        <w:t xml:space="preserve"> </w:t>
      </w:r>
      <w:r w:rsidR="003A41A3">
        <w:rPr>
          <w:rFonts w:ascii="Times New Roman" w:hAnsi="Times New Roman"/>
          <w:sz w:val="24"/>
          <w:szCs w:val="24"/>
        </w:rPr>
        <w:t>qui</w:t>
      </w:r>
      <w:r w:rsidR="00A66821" w:rsidRPr="003A41A3">
        <w:rPr>
          <w:rFonts w:ascii="Times New Roman" w:hAnsi="Times New Roman"/>
          <w:sz w:val="24"/>
          <w:szCs w:val="24"/>
        </w:rPr>
        <w:t xml:space="preserve"> </w:t>
      </w:r>
      <w:r w:rsidRPr="003A41A3">
        <w:rPr>
          <w:rFonts w:ascii="Times New Roman" w:hAnsi="Times New Roman"/>
          <w:sz w:val="24"/>
          <w:szCs w:val="24"/>
        </w:rPr>
        <w:t>présentent leurs états financiers en bonne et due forme</w:t>
      </w:r>
      <w:r w:rsidR="003A41A3">
        <w:rPr>
          <w:rFonts w:ascii="Times New Roman" w:hAnsi="Times New Roman"/>
          <w:sz w:val="24"/>
          <w:szCs w:val="24"/>
        </w:rPr>
        <w:t xml:space="preserve"> à la présente session,</w:t>
      </w:r>
    </w:p>
    <w:p w14:paraId="342CB9F5" w14:textId="77777777" w:rsidR="00614860" w:rsidRDefault="00614860" w:rsidP="00F0199F">
      <w:pPr>
        <w:widowControl w:val="0"/>
        <w:ind w:right="-1"/>
        <w:jc w:val="both"/>
      </w:pPr>
    </w:p>
    <w:p w14:paraId="32E6B1FD" w14:textId="77777777" w:rsidR="00E073D5" w:rsidRPr="00213C9C" w:rsidRDefault="00213C9C"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Pr>
          <w:rFonts w:ascii="Times New Roman" w:hAnsi="Times New Roman"/>
          <w:sz w:val="24"/>
          <w:szCs w:val="24"/>
        </w:rPr>
        <w:t>et</w:t>
      </w:r>
      <w:proofErr w:type="gramEnd"/>
      <w:r>
        <w:rPr>
          <w:rFonts w:ascii="Times New Roman" w:hAnsi="Times New Roman"/>
          <w:sz w:val="24"/>
          <w:szCs w:val="24"/>
        </w:rPr>
        <w:t xml:space="preserve"> </w:t>
      </w:r>
      <w:r w:rsidR="00E073D5" w:rsidRPr="00213C9C">
        <w:rPr>
          <w:rFonts w:ascii="Times New Roman" w:hAnsi="Times New Roman"/>
          <w:sz w:val="24"/>
          <w:szCs w:val="24"/>
        </w:rPr>
        <w:t xml:space="preserve">la </w:t>
      </w:r>
      <w:r w:rsidR="00E073D5" w:rsidRPr="00213C9C">
        <w:rPr>
          <w:rFonts w:ascii="Times New Roman" w:hAnsi="Times New Roman"/>
          <w:i/>
          <w:sz w:val="24"/>
          <w:szCs w:val="24"/>
        </w:rPr>
        <w:t>Résolution n°</w:t>
      </w:r>
      <w:r w:rsidRPr="00213C9C">
        <w:rPr>
          <w:rFonts w:ascii="Times New Roman" w:hAnsi="Times New Roman"/>
          <w:i/>
          <w:sz w:val="24"/>
          <w:szCs w:val="24"/>
        </w:rPr>
        <w:t xml:space="preserve"> </w:t>
      </w:r>
      <w:r w:rsidR="00E073D5" w:rsidRPr="00213C9C">
        <w:rPr>
          <w:rFonts w:ascii="Times New Roman" w:hAnsi="Times New Roman"/>
          <w:i/>
          <w:sz w:val="24"/>
          <w:szCs w:val="24"/>
        </w:rPr>
        <w:t xml:space="preserve">2020-03/AG-EPE relative à l’approbation des rapports de gestion des </w:t>
      </w:r>
      <w:r>
        <w:rPr>
          <w:rFonts w:ascii="Times New Roman" w:hAnsi="Times New Roman"/>
          <w:i/>
          <w:sz w:val="24"/>
          <w:szCs w:val="24"/>
        </w:rPr>
        <w:t>CA</w:t>
      </w:r>
      <w:r w:rsidR="00E073D5" w:rsidRPr="00213C9C">
        <w:rPr>
          <w:rFonts w:ascii="Times New Roman" w:hAnsi="Times New Roman"/>
          <w:i/>
          <w:sz w:val="24"/>
          <w:szCs w:val="24"/>
        </w:rPr>
        <w:t xml:space="preserve"> et des états financiers de l’exercice 2018 du Fonds d’</w:t>
      </w:r>
      <w:r>
        <w:rPr>
          <w:rFonts w:ascii="Times New Roman" w:hAnsi="Times New Roman"/>
          <w:i/>
          <w:sz w:val="24"/>
          <w:szCs w:val="24"/>
        </w:rPr>
        <w:t>a</w:t>
      </w:r>
      <w:r w:rsidR="00E073D5" w:rsidRPr="00213C9C">
        <w:rPr>
          <w:rFonts w:ascii="Times New Roman" w:hAnsi="Times New Roman"/>
          <w:i/>
          <w:sz w:val="24"/>
          <w:szCs w:val="24"/>
        </w:rPr>
        <w:t xml:space="preserve">ppui aux </w:t>
      </w:r>
      <w:r>
        <w:rPr>
          <w:rFonts w:ascii="Times New Roman" w:hAnsi="Times New Roman"/>
          <w:i/>
          <w:sz w:val="24"/>
          <w:szCs w:val="24"/>
        </w:rPr>
        <w:t>i</w:t>
      </w:r>
      <w:r w:rsidR="00E073D5" w:rsidRPr="00213C9C">
        <w:rPr>
          <w:rFonts w:ascii="Times New Roman" w:hAnsi="Times New Roman"/>
          <w:i/>
          <w:sz w:val="24"/>
          <w:szCs w:val="24"/>
        </w:rPr>
        <w:t xml:space="preserve">nitiatives des </w:t>
      </w:r>
      <w:r>
        <w:rPr>
          <w:rFonts w:ascii="Times New Roman" w:hAnsi="Times New Roman"/>
          <w:i/>
          <w:sz w:val="24"/>
          <w:szCs w:val="24"/>
        </w:rPr>
        <w:t>j</w:t>
      </w:r>
      <w:r w:rsidR="00E073D5" w:rsidRPr="00213C9C">
        <w:rPr>
          <w:rFonts w:ascii="Times New Roman" w:hAnsi="Times New Roman"/>
          <w:i/>
          <w:sz w:val="24"/>
          <w:szCs w:val="24"/>
        </w:rPr>
        <w:t>eunes (FAIJ) et du Fonds d’</w:t>
      </w:r>
      <w:r>
        <w:rPr>
          <w:rFonts w:ascii="Times New Roman" w:hAnsi="Times New Roman"/>
          <w:i/>
          <w:sz w:val="24"/>
          <w:szCs w:val="24"/>
        </w:rPr>
        <w:t>a</w:t>
      </w:r>
      <w:r w:rsidR="00E073D5" w:rsidRPr="00213C9C">
        <w:rPr>
          <w:rFonts w:ascii="Times New Roman" w:hAnsi="Times New Roman"/>
          <w:i/>
          <w:sz w:val="24"/>
          <w:szCs w:val="24"/>
        </w:rPr>
        <w:t xml:space="preserve">ssistance </w:t>
      </w:r>
      <w:r>
        <w:rPr>
          <w:rFonts w:ascii="Times New Roman" w:hAnsi="Times New Roman"/>
          <w:i/>
          <w:sz w:val="24"/>
          <w:szCs w:val="24"/>
        </w:rPr>
        <w:t>j</w:t>
      </w:r>
      <w:r w:rsidR="00E073D5" w:rsidRPr="00213C9C">
        <w:rPr>
          <w:rFonts w:ascii="Times New Roman" w:hAnsi="Times New Roman"/>
          <w:i/>
          <w:sz w:val="24"/>
          <w:szCs w:val="24"/>
        </w:rPr>
        <w:t>udiciaire (FAJ)</w:t>
      </w:r>
      <w:r>
        <w:rPr>
          <w:rFonts w:ascii="Times New Roman" w:hAnsi="Times New Roman"/>
          <w:sz w:val="24"/>
          <w:szCs w:val="24"/>
        </w:rPr>
        <w:t>.</w:t>
      </w:r>
    </w:p>
    <w:p w14:paraId="57470369" w14:textId="77777777" w:rsidR="00614860" w:rsidRDefault="00614860" w:rsidP="00F0199F">
      <w:pPr>
        <w:widowControl w:val="0"/>
        <w:ind w:right="-1"/>
        <w:jc w:val="both"/>
      </w:pPr>
    </w:p>
    <w:p w14:paraId="5A5ABE71" w14:textId="77777777" w:rsidR="00213C9C" w:rsidRDefault="00213C9C" w:rsidP="00F0199F">
      <w:pPr>
        <w:widowControl w:val="0"/>
        <w:ind w:right="-1"/>
        <w:jc w:val="both"/>
      </w:pPr>
      <w:r>
        <w:t>Les trois résolutions en cours d’exécution sont :</w:t>
      </w:r>
    </w:p>
    <w:p w14:paraId="6648D315" w14:textId="77777777" w:rsidR="00213C9C" w:rsidRDefault="00213C9C" w:rsidP="00F0199F">
      <w:pPr>
        <w:widowControl w:val="0"/>
        <w:ind w:right="-1"/>
        <w:jc w:val="both"/>
      </w:pPr>
    </w:p>
    <w:p w14:paraId="12D6CB43" w14:textId="77777777" w:rsidR="00E36A99" w:rsidRPr="00213C9C" w:rsidRDefault="003E70EA"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sidRPr="00213C9C">
        <w:rPr>
          <w:rFonts w:ascii="Times New Roman" w:hAnsi="Times New Roman"/>
          <w:sz w:val="24"/>
          <w:szCs w:val="24"/>
        </w:rPr>
        <w:t>la</w:t>
      </w:r>
      <w:proofErr w:type="gramEnd"/>
      <w:r w:rsidR="00E36A99" w:rsidRPr="00213C9C">
        <w:rPr>
          <w:rFonts w:ascii="Times New Roman" w:hAnsi="Times New Roman"/>
          <w:sz w:val="24"/>
          <w:szCs w:val="24"/>
        </w:rPr>
        <w:t xml:space="preserve"> </w:t>
      </w:r>
      <w:r w:rsidR="00E36A99" w:rsidRPr="00213C9C">
        <w:rPr>
          <w:rFonts w:ascii="Times New Roman" w:hAnsi="Times New Roman"/>
          <w:i/>
          <w:sz w:val="24"/>
          <w:szCs w:val="24"/>
        </w:rPr>
        <w:t>Résolution n°</w:t>
      </w:r>
      <w:r w:rsidRPr="00213C9C">
        <w:rPr>
          <w:rFonts w:ascii="Times New Roman" w:hAnsi="Times New Roman"/>
          <w:i/>
          <w:sz w:val="24"/>
          <w:szCs w:val="24"/>
        </w:rPr>
        <w:t xml:space="preserve"> </w:t>
      </w:r>
      <w:r w:rsidR="00E36A99" w:rsidRPr="00213C9C">
        <w:rPr>
          <w:rFonts w:ascii="Times New Roman" w:hAnsi="Times New Roman"/>
          <w:i/>
          <w:sz w:val="24"/>
          <w:szCs w:val="24"/>
        </w:rPr>
        <w:t>20</w:t>
      </w:r>
      <w:r w:rsidR="00E073D5" w:rsidRPr="00213C9C">
        <w:rPr>
          <w:rFonts w:ascii="Times New Roman" w:hAnsi="Times New Roman"/>
          <w:i/>
          <w:sz w:val="24"/>
          <w:szCs w:val="24"/>
        </w:rPr>
        <w:t>20</w:t>
      </w:r>
      <w:r w:rsidR="00E36A99" w:rsidRPr="00213C9C">
        <w:rPr>
          <w:rFonts w:ascii="Times New Roman" w:hAnsi="Times New Roman"/>
          <w:i/>
          <w:sz w:val="24"/>
          <w:szCs w:val="24"/>
        </w:rPr>
        <w:t>-0</w:t>
      </w:r>
      <w:r w:rsidR="00E073D5" w:rsidRPr="00213C9C">
        <w:rPr>
          <w:rFonts w:ascii="Times New Roman" w:hAnsi="Times New Roman"/>
          <w:i/>
          <w:sz w:val="24"/>
          <w:szCs w:val="24"/>
        </w:rPr>
        <w:t>4</w:t>
      </w:r>
      <w:r w:rsidR="00E36A99" w:rsidRPr="00213C9C">
        <w:rPr>
          <w:rFonts w:ascii="Times New Roman" w:hAnsi="Times New Roman"/>
          <w:i/>
          <w:sz w:val="24"/>
          <w:szCs w:val="24"/>
        </w:rPr>
        <w:t>/AG-EPE relative</w:t>
      </w:r>
      <w:r w:rsidR="00E073D5" w:rsidRPr="00213C9C">
        <w:rPr>
          <w:rFonts w:ascii="Times New Roman" w:hAnsi="Times New Roman"/>
          <w:i/>
          <w:sz w:val="24"/>
          <w:szCs w:val="24"/>
        </w:rPr>
        <w:t xml:space="preserve"> à l’encadrement de la rémunération des Directeurs </w:t>
      </w:r>
      <w:r w:rsidR="00213C9C" w:rsidRPr="00213C9C">
        <w:rPr>
          <w:rFonts w:ascii="Times New Roman" w:hAnsi="Times New Roman"/>
          <w:i/>
          <w:sz w:val="24"/>
          <w:szCs w:val="24"/>
        </w:rPr>
        <w:t>g</w:t>
      </w:r>
      <w:r w:rsidR="00E073D5" w:rsidRPr="00213C9C">
        <w:rPr>
          <w:rFonts w:ascii="Times New Roman" w:hAnsi="Times New Roman"/>
          <w:i/>
          <w:sz w:val="24"/>
          <w:szCs w:val="24"/>
        </w:rPr>
        <w:t xml:space="preserve">énéraux </w:t>
      </w:r>
      <w:r w:rsidR="00213C9C" w:rsidRPr="00213C9C">
        <w:rPr>
          <w:rFonts w:ascii="Times New Roman" w:hAnsi="Times New Roman"/>
          <w:i/>
          <w:sz w:val="24"/>
          <w:szCs w:val="24"/>
        </w:rPr>
        <w:t xml:space="preserve">(DG) </w:t>
      </w:r>
      <w:r w:rsidR="00E073D5" w:rsidRPr="00213C9C">
        <w:rPr>
          <w:rFonts w:ascii="Times New Roman" w:hAnsi="Times New Roman"/>
          <w:i/>
          <w:sz w:val="24"/>
          <w:szCs w:val="24"/>
        </w:rPr>
        <w:t>des EPE</w:t>
      </w:r>
      <w:r w:rsidR="00E073D5" w:rsidRPr="00213C9C">
        <w:rPr>
          <w:rFonts w:ascii="Times New Roman" w:hAnsi="Times New Roman"/>
          <w:sz w:val="24"/>
          <w:szCs w:val="24"/>
        </w:rPr>
        <w:t xml:space="preserve">, </w:t>
      </w:r>
      <w:r w:rsidR="00213C9C">
        <w:rPr>
          <w:rFonts w:ascii="Times New Roman" w:hAnsi="Times New Roman"/>
          <w:sz w:val="24"/>
          <w:szCs w:val="24"/>
        </w:rPr>
        <w:t>avec l’élaboration du</w:t>
      </w:r>
      <w:r w:rsidR="00E073D5" w:rsidRPr="00213C9C">
        <w:rPr>
          <w:rFonts w:ascii="Times New Roman" w:hAnsi="Times New Roman"/>
          <w:sz w:val="24"/>
          <w:szCs w:val="24"/>
        </w:rPr>
        <w:t xml:space="preserve"> projet de décret portant référentiel de fixation des rémunérations des </w:t>
      </w:r>
      <w:r w:rsidR="00213C9C">
        <w:rPr>
          <w:rFonts w:ascii="Times New Roman" w:hAnsi="Times New Roman"/>
          <w:sz w:val="24"/>
          <w:szCs w:val="24"/>
        </w:rPr>
        <w:t xml:space="preserve">DG des </w:t>
      </w:r>
      <w:r w:rsidR="00E073D5" w:rsidRPr="00213C9C">
        <w:rPr>
          <w:rFonts w:ascii="Times New Roman" w:hAnsi="Times New Roman"/>
          <w:sz w:val="24"/>
          <w:szCs w:val="24"/>
        </w:rPr>
        <w:t>EPE</w:t>
      </w:r>
      <w:r w:rsidR="00213C9C">
        <w:rPr>
          <w:rFonts w:ascii="Times New Roman" w:hAnsi="Times New Roman"/>
          <w:sz w:val="24"/>
          <w:szCs w:val="24"/>
        </w:rPr>
        <w:t>,</w:t>
      </w:r>
    </w:p>
    <w:p w14:paraId="55407BC4" w14:textId="77777777" w:rsidR="00614860" w:rsidRDefault="00614860" w:rsidP="00F0199F">
      <w:pPr>
        <w:widowControl w:val="0"/>
        <w:ind w:right="-1"/>
        <w:jc w:val="both"/>
      </w:pPr>
    </w:p>
    <w:p w14:paraId="25D8F169" w14:textId="77777777" w:rsidR="0043686F" w:rsidRPr="00912625" w:rsidRDefault="0043686F"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sidRPr="00912625">
        <w:rPr>
          <w:rFonts w:ascii="Times New Roman" w:hAnsi="Times New Roman"/>
          <w:sz w:val="24"/>
          <w:szCs w:val="24"/>
        </w:rPr>
        <w:t>la</w:t>
      </w:r>
      <w:proofErr w:type="gramEnd"/>
      <w:r w:rsidRPr="00912625">
        <w:rPr>
          <w:rFonts w:ascii="Times New Roman" w:hAnsi="Times New Roman"/>
          <w:sz w:val="24"/>
          <w:szCs w:val="24"/>
        </w:rPr>
        <w:t xml:space="preserve"> </w:t>
      </w:r>
      <w:r w:rsidRPr="00912625">
        <w:rPr>
          <w:rFonts w:ascii="Times New Roman" w:hAnsi="Times New Roman"/>
          <w:i/>
          <w:sz w:val="24"/>
          <w:szCs w:val="24"/>
        </w:rPr>
        <w:t>Résolution n°</w:t>
      </w:r>
      <w:r w:rsidR="00912625" w:rsidRPr="00912625">
        <w:rPr>
          <w:rFonts w:ascii="Times New Roman" w:hAnsi="Times New Roman"/>
          <w:i/>
          <w:sz w:val="24"/>
          <w:szCs w:val="24"/>
        </w:rPr>
        <w:t xml:space="preserve"> </w:t>
      </w:r>
      <w:r w:rsidRPr="00912625">
        <w:rPr>
          <w:rFonts w:ascii="Times New Roman" w:hAnsi="Times New Roman"/>
          <w:i/>
          <w:sz w:val="24"/>
          <w:szCs w:val="24"/>
        </w:rPr>
        <w:t>2020-05/AG-EPE relative à la poursuite de la rationalisation des EPE</w:t>
      </w:r>
      <w:r w:rsidR="00912625">
        <w:rPr>
          <w:rFonts w:ascii="Times New Roman" w:hAnsi="Times New Roman"/>
          <w:sz w:val="24"/>
          <w:szCs w:val="24"/>
        </w:rPr>
        <w:t>, avec la fusion d’établissements sous tutelles respectives des m</w:t>
      </w:r>
      <w:r w:rsidRPr="00912625">
        <w:rPr>
          <w:rFonts w:ascii="Times New Roman" w:hAnsi="Times New Roman"/>
          <w:sz w:val="24"/>
          <w:szCs w:val="24"/>
        </w:rPr>
        <w:t xml:space="preserve">inistères en charge de l’éducation nationale </w:t>
      </w:r>
      <w:r w:rsidRPr="00912625">
        <w:rPr>
          <w:rFonts w:ascii="Times New Roman" w:hAnsi="Times New Roman"/>
          <w:sz w:val="24"/>
          <w:szCs w:val="24"/>
        </w:rPr>
        <w:lastRenderedPageBreak/>
        <w:t>et de l’enseignement supérieur</w:t>
      </w:r>
      <w:r w:rsidR="00240937">
        <w:rPr>
          <w:rFonts w:ascii="Times New Roman" w:hAnsi="Times New Roman"/>
          <w:sz w:val="24"/>
          <w:szCs w:val="24"/>
        </w:rPr>
        <w:t xml:space="preserve">, ainsi que les </w:t>
      </w:r>
      <w:r w:rsidRPr="00912625">
        <w:rPr>
          <w:rFonts w:ascii="Times New Roman" w:hAnsi="Times New Roman"/>
          <w:sz w:val="24"/>
          <w:szCs w:val="24"/>
        </w:rPr>
        <w:t xml:space="preserve">réflexions </w:t>
      </w:r>
      <w:r w:rsidR="00240937">
        <w:rPr>
          <w:rFonts w:ascii="Times New Roman" w:hAnsi="Times New Roman"/>
          <w:sz w:val="24"/>
          <w:szCs w:val="24"/>
        </w:rPr>
        <w:t xml:space="preserve">en cours aux niveaux de différents départements ministériels </w:t>
      </w:r>
      <w:r w:rsidRPr="00912625">
        <w:rPr>
          <w:rFonts w:ascii="Times New Roman" w:hAnsi="Times New Roman"/>
          <w:sz w:val="24"/>
          <w:szCs w:val="24"/>
        </w:rPr>
        <w:t>visant le regroupement d’établissements ayant des missions similaires</w:t>
      </w:r>
      <w:r w:rsidR="00240937">
        <w:rPr>
          <w:rFonts w:ascii="Times New Roman" w:hAnsi="Times New Roman"/>
          <w:sz w:val="24"/>
          <w:szCs w:val="24"/>
        </w:rPr>
        <w:t>,</w:t>
      </w:r>
    </w:p>
    <w:p w14:paraId="0EB20F81" w14:textId="77777777" w:rsidR="00614860" w:rsidRDefault="00614860" w:rsidP="00F0199F">
      <w:pPr>
        <w:widowControl w:val="0"/>
        <w:ind w:right="-1"/>
        <w:jc w:val="both"/>
      </w:pPr>
    </w:p>
    <w:p w14:paraId="600990D8" w14:textId="77777777" w:rsidR="0043686F" w:rsidRPr="00C26FAC" w:rsidRDefault="00C26FAC"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Pr>
          <w:rFonts w:ascii="Times New Roman" w:hAnsi="Times New Roman"/>
          <w:sz w:val="24"/>
          <w:szCs w:val="24"/>
        </w:rPr>
        <w:t>et</w:t>
      </w:r>
      <w:proofErr w:type="gramEnd"/>
      <w:r>
        <w:rPr>
          <w:rFonts w:ascii="Times New Roman" w:hAnsi="Times New Roman"/>
          <w:sz w:val="24"/>
          <w:szCs w:val="24"/>
        </w:rPr>
        <w:t xml:space="preserve"> </w:t>
      </w:r>
      <w:r w:rsidR="0043686F" w:rsidRPr="00C26FAC">
        <w:rPr>
          <w:rFonts w:ascii="Times New Roman" w:hAnsi="Times New Roman"/>
          <w:sz w:val="24"/>
          <w:szCs w:val="24"/>
        </w:rPr>
        <w:t xml:space="preserve">la </w:t>
      </w:r>
      <w:r w:rsidR="0043686F" w:rsidRPr="00C26FAC">
        <w:rPr>
          <w:rFonts w:ascii="Times New Roman" w:hAnsi="Times New Roman"/>
          <w:i/>
          <w:sz w:val="24"/>
          <w:szCs w:val="24"/>
        </w:rPr>
        <w:t>Résolution n°</w:t>
      </w:r>
      <w:r w:rsidRPr="00C26FAC">
        <w:rPr>
          <w:rFonts w:ascii="Times New Roman" w:hAnsi="Times New Roman"/>
          <w:i/>
          <w:sz w:val="24"/>
          <w:szCs w:val="24"/>
        </w:rPr>
        <w:t xml:space="preserve"> </w:t>
      </w:r>
      <w:r w:rsidR="0043686F" w:rsidRPr="00C26FAC">
        <w:rPr>
          <w:rFonts w:ascii="Times New Roman" w:hAnsi="Times New Roman"/>
          <w:i/>
          <w:sz w:val="24"/>
          <w:szCs w:val="24"/>
        </w:rPr>
        <w:t>2020-06/AG-EPE relative à la mise en place d’un mécanisme de partage d’informations sur le crédit</w:t>
      </w:r>
      <w:r>
        <w:rPr>
          <w:rFonts w:ascii="Times New Roman" w:hAnsi="Times New Roman"/>
          <w:sz w:val="24"/>
          <w:szCs w:val="24"/>
        </w:rPr>
        <w:t xml:space="preserve">, avec l’organisation de </w:t>
      </w:r>
      <w:r w:rsidR="0043686F" w:rsidRPr="00C26FAC">
        <w:rPr>
          <w:rFonts w:ascii="Times New Roman" w:hAnsi="Times New Roman"/>
          <w:sz w:val="24"/>
          <w:szCs w:val="24"/>
        </w:rPr>
        <w:t xml:space="preserve">rencontres de partage d’expériences entre des </w:t>
      </w:r>
      <w:r>
        <w:rPr>
          <w:rFonts w:ascii="Times New Roman" w:hAnsi="Times New Roman"/>
          <w:sz w:val="24"/>
          <w:szCs w:val="24"/>
        </w:rPr>
        <w:t>F</w:t>
      </w:r>
      <w:r w:rsidR="0043686F" w:rsidRPr="00C26FAC">
        <w:rPr>
          <w:rFonts w:ascii="Times New Roman" w:hAnsi="Times New Roman"/>
          <w:sz w:val="24"/>
          <w:szCs w:val="24"/>
        </w:rPr>
        <w:t xml:space="preserve">onds nationaux de financement </w:t>
      </w:r>
      <w:r>
        <w:rPr>
          <w:rFonts w:ascii="Times New Roman" w:hAnsi="Times New Roman"/>
          <w:sz w:val="24"/>
          <w:szCs w:val="24"/>
        </w:rPr>
        <w:t xml:space="preserve">(FNF) </w:t>
      </w:r>
      <w:r w:rsidR="0043686F" w:rsidRPr="00C26FAC">
        <w:rPr>
          <w:rFonts w:ascii="Times New Roman" w:hAnsi="Times New Roman"/>
          <w:sz w:val="24"/>
          <w:szCs w:val="24"/>
        </w:rPr>
        <w:t>et l</w:t>
      </w:r>
      <w:r w:rsidR="00F51438" w:rsidRPr="00C26FAC">
        <w:rPr>
          <w:rFonts w:ascii="Times New Roman" w:hAnsi="Times New Roman"/>
          <w:sz w:val="24"/>
          <w:szCs w:val="24"/>
        </w:rPr>
        <w:t xml:space="preserve">a recherche </w:t>
      </w:r>
      <w:r w:rsidR="0043686F" w:rsidRPr="00C26FAC">
        <w:rPr>
          <w:rFonts w:ascii="Times New Roman" w:hAnsi="Times New Roman"/>
          <w:sz w:val="24"/>
          <w:szCs w:val="24"/>
        </w:rPr>
        <w:t>d’informations sur les clients auprès d’autres fonds.</w:t>
      </w:r>
    </w:p>
    <w:p w14:paraId="6A068529" w14:textId="77777777" w:rsidR="00294C9C" w:rsidRDefault="00294C9C" w:rsidP="00F0199F">
      <w:pPr>
        <w:widowControl w:val="0"/>
        <w:ind w:right="-1"/>
        <w:jc w:val="both"/>
      </w:pPr>
    </w:p>
    <w:p w14:paraId="172F55CE" w14:textId="77777777" w:rsidR="00AD056B" w:rsidRDefault="00E36A99" w:rsidP="00F0199F">
      <w:pPr>
        <w:widowControl w:val="0"/>
        <w:ind w:right="-1"/>
        <w:jc w:val="both"/>
      </w:pPr>
      <w:r w:rsidRPr="00F40034">
        <w:t xml:space="preserve">Pour ce qui est des </w:t>
      </w:r>
      <w:r w:rsidR="00F86253">
        <w:t xml:space="preserve">six </w:t>
      </w:r>
      <w:r w:rsidR="00CF1155" w:rsidRPr="00F40034">
        <w:t>r</w:t>
      </w:r>
      <w:r w:rsidRPr="00F40034">
        <w:t xml:space="preserve">ecommandations, </w:t>
      </w:r>
      <w:r w:rsidR="00A315C4">
        <w:t>les trois suivantes ont été</w:t>
      </w:r>
      <w:r w:rsidR="00AD056B">
        <w:t xml:space="preserve"> réalisées :</w:t>
      </w:r>
    </w:p>
    <w:p w14:paraId="0DFB867F" w14:textId="77777777" w:rsidR="00AD056B" w:rsidRDefault="00AD056B" w:rsidP="00F0199F">
      <w:pPr>
        <w:widowControl w:val="0"/>
        <w:ind w:right="-1"/>
        <w:jc w:val="both"/>
      </w:pPr>
    </w:p>
    <w:p w14:paraId="056374A1" w14:textId="77777777" w:rsidR="00E36A99" w:rsidRPr="00AD056B" w:rsidRDefault="00E36A99"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sidRPr="00AD056B">
        <w:rPr>
          <w:rFonts w:ascii="Times New Roman" w:hAnsi="Times New Roman"/>
          <w:sz w:val="24"/>
          <w:szCs w:val="24"/>
        </w:rPr>
        <w:t>la</w:t>
      </w:r>
      <w:proofErr w:type="gramEnd"/>
      <w:r w:rsidR="00CF1155" w:rsidRPr="00AD056B">
        <w:rPr>
          <w:rFonts w:ascii="Times New Roman" w:hAnsi="Times New Roman"/>
          <w:sz w:val="24"/>
          <w:szCs w:val="24"/>
        </w:rPr>
        <w:t xml:space="preserve"> </w:t>
      </w:r>
      <w:r w:rsidRPr="00AD056B">
        <w:rPr>
          <w:rFonts w:ascii="Times New Roman" w:hAnsi="Times New Roman"/>
          <w:i/>
          <w:sz w:val="24"/>
          <w:szCs w:val="24"/>
        </w:rPr>
        <w:t>Recommandation n°</w:t>
      </w:r>
      <w:r w:rsidR="00AD056B" w:rsidRPr="00AD056B">
        <w:rPr>
          <w:rFonts w:ascii="Times New Roman" w:hAnsi="Times New Roman"/>
          <w:i/>
          <w:sz w:val="24"/>
          <w:szCs w:val="24"/>
        </w:rPr>
        <w:t xml:space="preserve"> </w:t>
      </w:r>
      <w:r w:rsidRPr="00AD056B">
        <w:rPr>
          <w:rFonts w:ascii="Times New Roman" w:hAnsi="Times New Roman"/>
          <w:i/>
          <w:sz w:val="24"/>
          <w:szCs w:val="24"/>
        </w:rPr>
        <w:t>20</w:t>
      </w:r>
      <w:r w:rsidR="0043686F" w:rsidRPr="00AD056B">
        <w:rPr>
          <w:rFonts w:ascii="Times New Roman" w:hAnsi="Times New Roman"/>
          <w:i/>
          <w:sz w:val="24"/>
          <w:szCs w:val="24"/>
        </w:rPr>
        <w:t>20</w:t>
      </w:r>
      <w:r w:rsidRPr="00AD056B">
        <w:rPr>
          <w:rFonts w:ascii="Times New Roman" w:hAnsi="Times New Roman"/>
          <w:i/>
          <w:sz w:val="24"/>
          <w:szCs w:val="24"/>
        </w:rPr>
        <w:t xml:space="preserve">-01/AG-EPE relative </w:t>
      </w:r>
      <w:r w:rsidR="0043686F" w:rsidRPr="00AD056B">
        <w:rPr>
          <w:rFonts w:ascii="Times New Roman" w:hAnsi="Times New Roman"/>
          <w:i/>
          <w:sz w:val="24"/>
          <w:szCs w:val="24"/>
        </w:rPr>
        <w:t>à l’appropriation de la démarche de la performance par les EPE</w:t>
      </w:r>
      <w:r w:rsidR="00AD056B">
        <w:rPr>
          <w:rFonts w:ascii="Times New Roman" w:hAnsi="Times New Roman"/>
          <w:sz w:val="24"/>
          <w:szCs w:val="24"/>
        </w:rPr>
        <w:t xml:space="preserve">, </w:t>
      </w:r>
      <w:r w:rsidRPr="00AD056B">
        <w:rPr>
          <w:rFonts w:ascii="Times New Roman" w:hAnsi="Times New Roman"/>
          <w:sz w:val="24"/>
          <w:szCs w:val="24"/>
        </w:rPr>
        <w:t xml:space="preserve">à travers </w:t>
      </w:r>
      <w:r w:rsidR="00AD056B">
        <w:rPr>
          <w:rFonts w:ascii="Times New Roman" w:hAnsi="Times New Roman"/>
          <w:sz w:val="24"/>
          <w:szCs w:val="24"/>
        </w:rPr>
        <w:t>s</w:t>
      </w:r>
      <w:r w:rsidR="0043686F" w:rsidRPr="00AD056B">
        <w:rPr>
          <w:rFonts w:ascii="Times New Roman" w:hAnsi="Times New Roman"/>
          <w:sz w:val="24"/>
          <w:szCs w:val="24"/>
        </w:rPr>
        <w:t>a prise en compte dans l’élaboration des outils de planification</w:t>
      </w:r>
      <w:r w:rsidR="00AD056B">
        <w:rPr>
          <w:rFonts w:ascii="Times New Roman" w:hAnsi="Times New Roman"/>
          <w:sz w:val="24"/>
          <w:szCs w:val="24"/>
        </w:rPr>
        <w:t xml:space="preserve"> (</w:t>
      </w:r>
      <w:r w:rsidR="0043686F" w:rsidRPr="00AD056B">
        <w:rPr>
          <w:rFonts w:ascii="Times New Roman" w:hAnsi="Times New Roman"/>
          <w:sz w:val="24"/>
          <w:szCs w:val="24"/>
        </w:rPr>
        <w:t>plans d’action stratégiques, programmes d’activités</w:t>
      </w:r>
      <w:r w:rsidR="00AD056B">
        <w:rPr>
          <w:rFonts w:ascii="Times New Roman" w:hAnsi="Times New Roman"/>
          <w:sz w:val="24"/>
          <w:szCs w:val="24"/>
        </w:rPr>
        <w:t>,</w:t>
      </w:r>
      <w:r w:rsidR="0043686F" w:rsidRPr="00AD056B">
        <w:rPr>
          <w:rFonts w:ascii="Times New Roman" w:hAnsi="Times New Roman"/>
          <w:sz w:val="24"/>
          <w:szCs w:val="24"/>
        </w:rPr>
        <w:t xml:space="preserve"> budgets</w:t>
      </w:r>
      <w:r w:rsidR="00AD056B">
        <w:rPr>
          <w:rFonts w:ascii="Times New Roman" w:hAnsi="Times New Roman"/>
          <w:sz w:val="24"/>
          <w:szCs w:val="24"/>
        </w:rPr>
        <w:t>)</w:t>
      </w:r>
      <w:r w:rsidR="0043686F" w:rsidRPr="00AD056B">
        <w:rPr>
          <w:rFonts w:ascii="Times New Roman" w:hAnsi="Times New Roman"/>
          <w:sz w:val="24"/>
          <w:szCs w:val="24"/>
        </w:rPr>
        <w:t xml:space="preserve"> et l’organisation de sessions de formation </w:t>
      </w:r>
      <w:r w:rsidR="00AD056B">
        <w:rPr>
          <w:rFonts w:ascii="Times New Roman" w:hAnsi="Times New Roman"/>
          <w:sz w:val="24"/>
          <w:szCs w:val="24"/>
        </w:rPr>
        <w:t>y relative,</w:t>
      </w:r>
    </w:p>
    <w:p w14:paraId="537E0AB2" w14:textId="77777777" w:rsidR="000715A5" w:rsidRDefault="000715A5" w:rsidP="00F0199F">
      <w:pPr>
        <w:widowControl w:val="0"/>
        <w:ind w:right="-1"/>
        <w:jc w:val="both"/>
      </w:pPr>
    </w:p>
    <w:p w14:paraId="256D3013" w14:textId="77777777" w:rsidR="004A19AA" w:rsidRPr="0035613B" w:rsidRDefault="004A19AA"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sidRPr="0035613B">
        <w:rPr>
          <w:rFonts w:ascii="Times New Roman" w:hAnsi="Times New Roman"/>
          <w:sz w:val="24"/>
          <w:szCs w:val="24"/>
        </w:rPr>
        <w:t>la</w:t>
      </w:r>
      <w:proofErr w:type="gramEnd"/>
      <w:r w:rsidRPr="0035613B">
        <w:rPr>
          <w:rFonts w:ascii="Times New Roman" w:hAnsi="Times New Roman"/>
          <w:sz w:val="24"/>
          <w:szCs w:val="24"/>
        </w:rPr>
        <w:t xml:space="preserve"> </w:t>
      </w:r>
      <w:r w:rsidR="00E861A4" w:rsidRPr="00732C87">
        <w:rPr>
          <w:rFonts w:ascii="Times New Roman" w:hAnsi="Times New Roman"/>
          <w:i/>
          <w:sz w:val="24"/>
          <w:szCs w:val="24"/>
        </w:rPr>
        <w:t>R</w:t>
      </w:r>
      <w:r w:rsidRPr="00732C87">
        <w:rPr>
          <w:rFonts w:ascii="Times New Roman" w:hAnsi="Times New Roman"/>
          <w:i/>
          <w:sz w:val="24"/>
          <w:szCs w:val="24"/>
        </w:rPr>
        <w:t xml:space="preserve">ecommandation </w:t>
      </w:r>
      <w:r w:rsidR="00E861A4" w:rsidRPr="00732C87">
        <w:rPr>
          <w:rFonts w:ascii="Times New Roman" w:hAnsi="Times New Roman"/>
          <w:i/>
          <w:sz w:val="24"/>
          <w:szCs w:val="24"/>
        </w:rPr>
        <w:t>n</w:t>
      </w:r>
      <w:r w:rsidR="00F51438" w:rsidRPr="00732C87">
        <w:rPr>
          <w:rFonts w:ascii="Times New Roman" w:hAnsi="Times New Roman"/>
          <w:i/>
          <w:sz w:val="24"/>
          <w:szCs w:val="24"/>
        </w:rPr>
        <w:t>°</w:t>
      </w:r>
      <w:r w:rsidR="00732C87" w:rsidRPr="00732C87">
        <w:rPr>
          <w:rFonts w:ascii="Times New Roman" w:hAnsi="Times New Roman"/>
          <w:i/>
          <w:sz w:val="24"/>
          <w:szCs w:val="24"/>
        </w:rPr>
        <w:t xml:space="preserve"> </w:t>
      </w:r>
      <w:r w:rsidRPr="00732C87">
        <w:rPr>
          <w:rFonts w:ascii="Times New Roman" w:hAnsi="Times New Roman"/>
          <w:i/>
          <w:sz w:val="24"/>
          <w:szCs w:val="24"/>
        </w:rPr>
        <w:t>20</w:t>
      </w:r>
      <w:r w:rsidR="00F51438" w:rsidRPr="00732C87">
        <w:rPr>
          <w:rFonts w:ascii="Times New Roman" w:hAnsi="Times New Roman"/>
          <w:i/>
          <w:sz w:val="24"/>
          <w:szCs w:val="24"/>
        </w:rPr>
        <w:t>20</w:t>
      </w:r>
      <w:r w:rsidRPr="00732C87">
        <w:rPr>
          <w:rFonts w:ascii="Times New Roman" w:hAnsi="Times New Roman"/>
          <w:i/>
          <w:sz w:val="24"/>
          <w:szCs w:val="24"/>
        </w:rPr>
        <w:t>-02/AG-EPE</w:t>
      </w:r>
      <w:r w:rsidR="00E861A4" w:rsidRPr="00732C87">
        <w:rPr>
          <w:rFonts w:ascii="Times New Roman" w:hAnsi="Times New Roman"/>
          <w:i/>
          <w:sz w:val="24"/>
          <w:szCs w:val="24"/>
        </w:rPr>
        <w:t xml:space="preserve"> </w:t>
      </w:r>
      <w:r w:rsidR="00F51438" w:rsidRPr="00732C87">
        <w:rPr>
          <w:rFonts w:ascii="Times New Roman" w:hAnsi="Times New Roman"/>
          <w:i/>
          <w:sz w:val="24"/>
          <w:szCs w:val="24"/>
        </w:rPr>
        <w:t>relative</w:t>
      </w:r>
      <w:r w:rsidR="00E861A4" w:rsidRPr="00732C87">
        <w:rPr>
          <w:rFonts w:ascii="Times New Roman" w:hAnsi="Times New Roman"/>
          <w:i/>
          <w:sz w:val="24"/>
          <w:szCs w:val="24"/>
        </w:rPr>
        <w:t xml:space="preserve"> </w:t>
      </w:r>
      <w:r w:rsidR="00F51438" w:rsidRPr="00732C87">
        <w:rPr>
          <w:rFonts w:ascii="Times New Roman" w:hAnsi="Times New Roman"/>
          <w:i/>
          <w:sz w:val="24"/>
          <w:szCs w:val="24"/>
        </w:rPr>
        <w:t xml:space="preserve">à une meilleure prise en compte des missions des </w:t>
      </w:r>
      <w:r w:rsidR="00732C87" w:rsidRPr="00732C87">
        <w:rPr>
          <w:rFonts w:ascii="Times New Roman" w:hAnsi="Times New Roman"/>
          <w:i/>
          <w:sz w:val="24"/>
          <w:szCs w:val="24"/>
        </w:rPr>
        <w:t>EPE</w:t>
      </w:r>
      <w:r w:rsidR="00F51438" w:rsidRPr="00732C87">
        <w:rPr>
          <w:rFonts w:ascii="Times New Roman" w:hAnsi="Times New Roman"/>
          <w:i/>
          <w:sz w:val="24"/>
          <w:szCs w:val="24"/>
        </w:rPr>
        <w:t xml:space="preserve"> dans la détermination des indicateurs des cadres de performance des programmes budgétaires</w:t>
      </w:r>
      <w:r w:rsidR="00732C87">
        <w:rPr>
          <w:rFonts w:ascii="Times New Roman" w:hAnsi="Times New Roman"/>
          <w:sz w:val="24"/>
          <w:szCs w:val="24"/>
        </w:rPr>
        <w:t xml:space="preserve">, avec la </w:t>
      </w:r>
      <w:r w:rsidR="00F51438" w:rsidRPr="0035613B">
        <w:rPr>
          <w:rFonts w:ascii="Times New Roman" w:hAnsi="Times New Roman"/>
          <w:sz w:val="24"/>
          <w:szCs w:val="24"/>
        </w:rPr>
        <w:t>pris</w:t>
      </w:r>
      <w:r w:rsidR="00732C87">
        <w:rPr>
          <w:rFonts w:ascii="Times New Roman" w:hAnsi="Times New Roman"/>
          <w:sz w:val="24"/>
          <w:szCs w:val="24"/>
        </w:rPr>
        <w:t>e</w:t>
      </w:r>
      <w:r w:rsidR="00F51438" w:rsidRPr="0035613B">
        <w:rPr>
          <w:rFonts w:ascii="Times New Roman" w:hAnsi="Times New Roman"/>
          <w:sz w:val="24"/>
          <w:szCs w:val="24"/>
        </w:rPr>
        <w:t xml:space="preserve"> en compte</w:t>
      </w:r>
      <w:r w:rsidR="00732C87">
        <w:rPr>
          <w:rFonts w:ascii="Times New Roman" w:hAnsi="Times New Roman"/>
          <w:sz w:val="24"/>
          <w:szCs w:val="24"/>
        </w:rPr>
        <w:t xml:space="preserve"> desdites missions</w:t>
      </w:r>
      <w:r w:rsidR="00F51438" w:rsidRPr="0035613B">
        <w:rPr>
          <w:rFonts w:ascii="Times New Roman" w:hAnsi="Times New Roman"/>
          <w:sz w:val="24"/>
          <w:szCs w:val="24"/>
        </w:rPr>
        <w:t xml:space="preserve"> à l’occasion de l’élaboration des stratégies et des programmes budgétaires</w:t>
      </w:r>
      <w:r w:rsidR="00072AC6">
        <w:rPr>
          <w:rFonts w:ascii="Times New Roman" w:hAnsi="Times New Roman"/>
          <w:sz w:val="24"/>
          <w:szCs w:val="24"/>
        </w:rPr>
        <w:t xml:space="preserve"> par les différents départements ministériels,</w:t>
      </w:r>
    </w:p>
    <w:p w14:paraId="68DA0179" w14:textId="77777777" w:rsidR="000715A5" w:rsidRDefault="000715A5" w:rsidP="00F0199F">
      <w:pPr>
        <w:widowControl w:val="0"/>
        <w:ind w:right="-1"/>
        <w:jc w:val="both"/>
      </w:pPr>
    </w:p>
    <w:p w14:paraId="0E775E1F" w14:textId="77777777" w:rsidR="00E36A99" w:rsidRPr="00B86DA1" w:rsidRDefault="00DE594B"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Pr>
          <w:rFonts w:ascii="Times New Roman" w:hAnsi="Times New Roman"/>
          <w:sz w:val="24"/>
          <w:szCs w:val="24"/>
        </w:rPr>
        <w:t>et</w:t>
      </w:r>
      <w:proofErr w:type="gramEnd"/>
      <w:r>
        <w:rPr>
          <w:rFonts w:ascii="Times New Roman" w:hAnsi="Times New Roman"/>
          <w:sz w:val="24"/>
          <w:szCs w:val="24"/>
        </w:rPr>
        <w:t xml:space="preserve"> </w:t>
      </w:r>
      <w:r w:rsidR="009C46DE" w:rsidRPr="00B86DA1">
        <w:rPr>
          <w:rFonts w:ascii="Times New Roman" w:hAnsi="Times New Roman"/>
          <w:sz w:val="24"/>
          <w:szCs w:val="24"/>
        </w:rPr>
        <w:t xml:space="preserve">la </w:t>
      </w:r>
      <w:r w:rsidR="00E36A99" w:rsidRPr="00B86DA1">
        <w:rPr>
          <w:rFonts w:ascii="Times New Roman" w:hAnsi="Times New Roman"/>
          <w:i/>
          <w:sz w:val="24"/>
          <w:szCs w:val="24"/>
        </w:rPr>
        <w:t>Recommandation n°</w:t>
      </w:r>
      <w:r w:rsidR="00B86DA1" w:rsidRPr="00B86DA1">
        <w:rPr>
          <w:rFonts w:ascii="Times New Roman" w:hAnsi="Times New Roman"/>
          <w:i/>
          <w:sz w:val="24"/>
          <w:szCs w:val="24"/>
        </w:rPr>
        <w:t xml:space="preserve"> </w:t>
      </w:r>
      <w:r w:rsidR="00E36A99" w:rsidRPr="00B86DA1">
        <w:rPr>
          <w:rFonts w:ascii="Times New Roman" w:hAnsi="Times New Roman"/>
          <w:i/>
          <w:sz w:val="24"/>
          <w:szCs w:val="24"/>
        </w:rPr>
        <w:t>20</w:t>
      </w:r>
      <w:r w:rsidR="00F51438" w:rsidRPr="00B86DA1">
        <w:rPr>
          <w:rFonts w:ascii="Times New Roman" w:hAnsi="Times New Roman"/>
          <w:i/>
          <w:sz w:val="24"/>
          <w:szCs w:val="24"/>
        </w:rPr>
        <w:t>20</w:t>
      </w:r>
      <w:r w:rsidR="00E36A99" w:rsidRPr="00B86DA1">
        <w:rPr>
          <w:rFonts w:ascii="Times New Roman" w:hAnsi="Times New Roman"/>
          <w:i/>
          <w:sz w:val="24"/>
          <w:szCs w:val="24"/>
        </w:rPr>
        <w:t>-03/AG-EPE relative</w:t>
      </w:r>
      <w:r w:rsidR="00F51438" w:rsidRPr="00B86DA1">
        <w:rPr>
          <w:rFonts w:ascii="Times New Roman" w:hAnsi="Times New Roman"/>
          <w:i/>
          <w:sz w:val="24"/>
          <w:szCs w:val="24"/>
        </w:rPr>
        <w:t xml:space="preserve"> à l’appropriation des cadres de performance des programmes budgétaires</w:t>
      </w:r>
      <w:r w:rsidR="00F51438" w:rsidRPr="00B86DA1">
        <w:rPr>
          <w:rFonts w:ascii="Times New Roman" w:hAnsi="Times New Roman"/>
          <w:sz w:val="24"/>
          <w:szCs w:val="24"/>
        </w:rPr>
        <w:t xml:space="preserve">, </w:t>
      </w:r>
      <w:r w:rsidR="00B86DA1">
        <w:rPr>
          <w:rFonts w:ascii="Times New Roman" w:hAnsi="Times New Roman"/>
          <w:sz w:val="24"/>
          <w:szCs w:val="24"/>
        </w:rPr>
        <w:t>avec l’élaboration d</w:t>
      </w:r>
      <w:r w:rsidR="00F51438" w:rsidRPr="00B86DA1">
        <w:rPr>
          <w:rFonts w:ascii="Times New Roman" w:hAnsi="Times New Roman"/>
          <w:sz w:val="24"/>
          <w:szCs w:val="24"/>
        </w:rPr>
        <w:t>es programmes d’activités</w:t>
      </w:r>
      <w:r w:rsidR="00B86DA1">
        <w:rPr>
          <w:rFonts w:ascii="Times New Roman" w:hAnsi="Times New Roman"/>
          <w:sz w:val="24"/>
          <w:szCs w:val="24"/>
        </w:rPr>
        <w:t xml:space="preserve"> en fonction d</w:t>
      </w:r>
      <w:r w:rsidR="00F51438" w:rsidRPr="00B86DA1">
        <w:rPr>
          <w:rFonts w:ascii="Times New Roman" w:hAnsi="Times New Roman"/>
          <w:sz w:val="24"/>
          <w:szCs w:val="24"/>
        </w:rPr>
        <w:t xml:space="preserve">es programme budgétaires des </w:t>
      </w:r>
      <w:r w:rsidR="00F459A2">
        <w:rPr>
          <w:rFonts w:ascii="Times New Roman" w:hAnsi="Times New Roman"/>
          <w:sz w:val="24"/>
          <w:szCs w:val="24"/>
        </w:rPr>
        <w:t>m</w:t>
      </w:r>
      <w:r w:rsidR="00F51438" w:rsidRPr="00B86DA1">
        <w:rPr>
          <w:rFonts w:ascii="Times New Roman" w:hAnsi="Times New Roman"/>
          <w:sz w:val="24"/>
          <w:szCs w:val="24"/>
        </w:rPr>
        <w:t>inistères de rattachement qui déclinent les objectifs stratégiques</w:t>
      </w:r>
      <w:r w:rsidR="00F459A2">
        <w:rPr>
          <w:rFonts w:ascii="Times New Roman" w:hAnsi="Times New Roman"/>
          <w:sz w:val="24"/>
          <w:szCs w:val="24"/>
        </w:rPr>
        <w:t xml:space="preserve"> </w:t>
      </w:r>
      <w:r w:rsidR="00F51438" w:rsidRPr="00B86DA1">
        <w:rPr>
          <w:rFonts w:ascii="Times New Roman" w:hAnsi="Times New Roman"/>
          <w:sz w:val="24"/>
          <w:szCs w:val="24"/>
        </w:rPr>
        <w:t>/</w:t>
      </w:r>
      <w:r w:rsidR="00F459A2">
        <w:rPr>
          <w:rFonts w:ascii="Times New Roman" w:hAnsi="Times New Roman"/>
          <w:sz w:val="24"/>
          <w:szCs w:val="24"/>
        </w:rPr>
        <w:t xml:space="preserve"> </w:t>
      </w:r>
      <w:r w:rsidR="00F51438" w:rsidRPr="00B86DA1">
        <w:rPr>
          <w:rFonts w:ascii="Times New Roman" w:hAnsi="Times New Roman"/>
          <w:sz w:val="24"/>
          <w:szCs w:val="24"/>
        </w:rPr>
        <w:t>opérationnels, les indicateurs d’impact</w:t>
      </w:r>
      <w:r w:rsidR="00F459A2">
        <w:rPr>
          <w:rFonts w:ascii="Times New Roman" w:hAnsi="Times New Roman"/>
          <w:sz w:val="24"/>
          <w:szCs w:val="24"/>
        </w:rPr>
        <w:t xml:space="preserve"> </w:t>
      </w:r>
      <w:r w:rsidR="00F51438" w:rsidRPr="00B86DA1">
        <w:rPr>
          <w:rFonts w:ascii="Times New Roman" w:hAnsi="Times New Roman"/>
          <w:sz w:val="24"/>
          <w:szCs w:val="24"/>
        </w:rPr>
        <w:t>/</w:t>
      </w:r>
      <w:r w:rsidR="00F459A2">
        <w:rPr>
          <w:rFonts w:ascii="Times New Roman" w:hAnsi="Times New Roman"/>
          <w:sz w:val="24"/>
          <w:szCs w:val="24"/>
        </w:rPr>
        <w:t xml:space="preserve"> d’</w:t>
      </w:r>
      <w:r w:rsidR="00F51438" w:rsidRPr="00B86DA1">
        <w:rPr>
          <w:rFonts w:ascii="Times New Roman" w:hAnsi="Times New Roman"/>
          <w:sz w:val="24"/>
          <w:szCs w:val="24"/>
        </w:rPr>
        <w:t>effet et les cibles</w:t>
      </w:r>
      <w:r w:rsidR="00F459A2">
        <w:rPr>
          <w:rFonts w:ascii="Times New Roman" w:hAnsi="Times New Roman"/>
          <w:sz w:val="24"/>
          <w:szCs w:val="24"/>
        </w:rPr>
        <w:t>, ainsi qu’</w:t>
      </w:r>
      <w:r w:rsidR="00F51438" w:rsidRPr="00B86DA1">
        <w:rPr>
          <w:rFonts w:ascii="Times New Roman" w:hAnsi="Times New Roman"/>
          <w:sz w:val="24"/>
          <w:szCs w:val="24"/>
        </w:rPr>
        <w:t>une amélioration dans le renseignement des indicateurs d’impact</w:t>
      </w:r>
      <w:r w:rsidR="00F459A2">
        <w:rPr>
          <w:rFonts w:ascii="Times New Roman" w:hAnsi="Times New Roman"/>
          <w:sz w:val="24"/>
          <w:szCs w:val="24"/>
        </w:rPr>
        <w:t xml:space="preserve"> </w:t>
      </w:r>
      <w:r w:rsidR="00F51438" w:rsidRPr="00B86DA1">
        <w:rPr>
          <w:rFonts w:ascii="Times New Roman" w:hAnsi="Times New Roman"/>
          <w:sz w:val="24"/>
          <w:szCs w:val="24"/>
        </w:rPr>
        <w:t>/</w:t>
      </w:r>
      <w:r w:rsidR="00F459A2">
        <w:rPr>
          <w:rFonts w:ascii="Times New Roman" w:hAnsi="Times New Roman"/>
          <w:sz w:val="24"/>
          <w:szCs w:val="24"/>
        </w:rPr>
        <w:t xml:space="preserve"> </w:t>
      </w:r>
      <w:r w:rsidR="00F51438" w:rsidRPr="00B86DA1">
        <w:rPr>
          <w:rFonts w:ascii="Times New Roman" w:hAnsi="Times New Roman"/>
          <w:sz w:val="24"/>
          <w:szCs w:val="24"/>
        </w:rPr>
        <w:t>d’effet</w:t>
      </w:r>
      <w:r w:rsidR="002C6B4E" w:rsidRPr="00B86DA1">
        <w:rPr>
          <w:rFonts w:ascii="Times New Roman" w:hAnsi="Times New Roman"/>
          <w:sz w:val="24"/>
          <w:szCs w:val="24"/>
        </w:rPr>
        <w:t>.</w:t>
      </w:r>
    </w:p>
    <w:p w14:paraId="1462729A" w14:textId="77777777" w:rsidR="000715A5" w:rsidRDefault="000715A5" w:rsidP="00F0199F">
      <w:pPr>
        <w:widowControl w:val="0"/>
        <w:ind w:right="-1"/>
        <w:jc w:val="both"/>
      </w:pPr>
    </w:p>
    <w:p w14:paraId="1FD33F49" w14:textId="77777777" w:rsidR="003F15A9" w:rsidRDefault="00DE594B" w:rsidP="00F0199F">
      <w:pPr>
        <w:widowControl w:val="0"/>
        <w:ind w:right="-1"/>
        <w:jc w:val="both"/>
      </w:pPr>
      <w:r>
        <w:t>Sont</w:t>
      </w:r>
      <w:r w:rsidR="003F15A9">
        <w:t xml:space="preserve"> en cours de réalisation :</w:t>
      </w:r>
    </w:p>
    <w:p w14:paraId="062F95FC" w14:textId="77777777" w:rsidR="003F15A9" w:rsidRDefault="003F15A9" w:rsidP="00F0199F">
      <w:pPr>
        <w:widowControl w:val="0"/>
        <w:ind w:right="-1"/>
        <w:jc w:val="both"/>
      </w:pPr>
    </w:p>
    <w:p w14:paraId="6A999C71" w14:textId="77777777" w:rsidR="00E36A99" w:rsidRPr="003F15A9" w:rsidRDefault="0044703D"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sidRPr="003F15A9">
        <w:rPr>
          <w:rFonts w:ascii="Times New Roman" w:hAnsi="Times New Roman"/>
          <w:sz w:val="24"/>
          <w:szCs w:val="24"/>
        </w:rPr>
        <w:t>la</w:t>
      </w:r>
      <w:proofErr w:type="gramEnd"/>
      <w:r w:rsidRPr="003F15A9">
        <w:rPr>
          <w:rFonts w:ascii="Times New Roman" w:hAnsi="Times New Roman"/>
          <w:sz w:val="24"/>
          <w:szCs w:val="24"/>
        </w:rPr>
        <w:t xml:space="preserve"> </w:t>
      </w:r>
      <w:r w:rsidR="00E36A99" w:rsidRPr="000C1697">
        <w:rPr>
          <w:rFonts w:ascii="Times New Roman" w:hAnsi="Times New Roman"/>
          <w:i/>
          <w:sz w:val="24"/>
          <w:szCs w:val="24"/>
        </w:rPr>
        <w:t>Recommandation n°</w:t>
      </w:r>
      <w:r w:rsidR="003F15A9" w:rsidRPr="000C1697">
        <w:rPr>
          <w:rFonts w:ascii="Times New Roman" w:hAnsi="Times New Roman"/>
          <w:i/>
          <w:sz w:val="24"/>
          <w:szCs w:val="24"/>
        </w:rPr>
        <w:t xml:space="preserve"> </w:t>
      </w:r>
      <w:r w:rsidR="00E36A99" w:rsidRPr="000C1697">
        <w:rPr>
          <w:rFonts w:ascii="Times New Roman" w:hAnsi="Times New Roman"/>
          <w:i/>
          <w:sz w:val="24"/>
          <w:szCs w:val="24"/>
        </w:rPr>
        <w:t>20</w:t>
      </w:r>
      <w:r w:rsidR="00F51438" w:rsidRPr="000C1697">
        <w:rPr>
          <w:rFonts w:ascii="Times New Roman" w:hAnsi="Times New Roman"/>
          <w:i/>
          <w:sz w:val="24"/>
          <w:szCs w:val="24"/>
        </w:rPr>
        <w:t>20</w:t>
      </w:r>
      <w:r w:rsidR="00E36A99" w:rsidRPr="000C1697">
        <w:rPr>
          <w:rFonts w:ascii="Times New Roman" w:hAnsi="Times New Roman"/>
          <w:i/>
          <w:sz w:val="24"/>
          <w:szCs w:val="24"/>
        </w:rPr>
        <w:t>-0</w:t>
      </w:r>
      <w:r w:rsidR="00F51438" w:rsidRPr="000C1697">
        <w:rPr>
          <w:rFonts w:ascii="Times New Roman" w:hAnsi="Times New Roman"/>
          <w:i/>
          <w:sz w:val="24"/>
          <w:szCs w:val="24"/>
        </w:rPr>
        <w:t>4</w:t>
      </w:r>
      <w:r w:rsidR="00E36A99" w:rsidRPr="000C1697">
        <w:rPr>
          <w:rFonts w:ascii="Times New Roman" w:hAnsi="Times New Roman"/>
          <w:i/>
          <w:sz w:val="24"/>
          <w:szCs w:val="24"/>
        </w:rPr>
        <w:t>/AG-EPE relative</w:t>
      </w:r>
      <w:r w:rsidR="00F51438" w:rsidRPr="000C1697">
        <w:rPr>
          <w:rFonts w:ascii="Times New Roman" w:hAnsi="Times New Roman"/>
          <w:i/>
          <w:sz w:val="24"/>
          <w:szCs w:val="24"/>
        </w:rPr>
        <w:t xml:space="preserve"> à une meilleure gouvernance des EPE</w:t>
      </w:r>
      <w:r w:rsidR="00F51438" w:rsidRPr="003F15A9">
        <w:rPr>
          <w:rFonts w:ascii="Times New Roman" w:hAnsi="Times New Roman"/>
          <w:sz w:val="24"/>
          <w:szCs w:val="24"/>
        </w:rPr>
        <w:t xml:space="preserve">, à travers la tenue régulière des instances statutaires, </w:t>
      </w:r>
      <w:bookmarkStart w:id="0" w:name="_Toc71903810"/>
      <w:r w:rsidR="00F51438" w:rsidRPr="003F15A9">
        <w:rPr>
          <w:rFonts w:ascii="Times New Roman" w:hAnsi="Times New Roman"/>
          <w:sz w:val="24"/>
          <w:szCs w:val="24"/>
        </w:rPr>
        <w:t xml:space="preserve">la mise en place de dispositifs permettant d’atteindre les objectifs </w:t>
      </w:r>
      <w:bookmarkEnd w:id="0"/>
      <w:r w:rsidR="00F51438" w:rsidRPr="003F15A9">
        <w:rPr>
          <w:rFonts w:ascii="Times New Roman" w:hAnsi="Times New Roman"/>
          <w:sz w:val="24"/>
          <w:szCs w:val="24"/>
        </w:rPr>
        <w:t xml:space="preserve">assignés, l’utilisation </w:t>
      </w:r>
      <w:r w:rsidR="000C1697" w:rsidRPr="003F15A9">
        <w:rPr>
          <w:rFonts w:ascii="Times New Roman" w:hAnsi="Times New Roman"/>
          <w:sz w:val="24"/>
          <w:szCs w:val="24"/>
        </w:rPr>
        <w:t>conform</w:t>
      </w:r>
      <w:r w:rsidR="000C1697">
        <w:rPr>
          <w:rFonts w:ascii="Times New Roman" w:hAnsi="Times New Roman"/>
          <w:sz w:val="24"/>
          <w:szCs w:val="24"/>
        </w:rPr>
        <w:t>e</w:t>
      </w:r>
      <w:r w:rsidR="000C1697" w:rsidRPr="003F15A9">
        <w:rPr>
          <w:rFonts w:ascii="Times New Roman" w:hAnsi="Times New Roman"/>
          <w:sz w:val="24"/>
          <w:szCs w:val="24"/>
        </w:rPr>
        <w:t xml:space="preserve"> à la règlementation </w:t>
      </w:r>
      <w:r w:rsidR="000C1697">
        <w:rPr>
          <w:rFonts w:ascii="Times New Roman" w:hAnsi="Times New Roman"/>
          <w:sz w:val="24"/>
          <w:szCs w:val="24"/>
        </w:rPr>
        <w:t xml:space="preserve">et </w:t>
      </w:r>
      <w:r w:rsidR="00F51438" w:rsidRPr="003F15A9">
        <w:rPr>
          <w:rFonts w:ascii="Times New Roman" w:hAnsi="Times New Roman"/>
          <w:sz w:val="24"/>
          <w:szCs w:val="24"/>
        </w:rPr>
        <w:t>efficace des ressources, la r</w:t>
      </w:r>
      <w:r w:rsidR="000C1697">
        <w:rPr>
          <w:rFonts w:ascii="Times New Roman" w:hAnsi="Times New Roman"/>
          <w:sz w:val="24"/>
          <w:szCs w:val="24"/>
        </w:rPr>
        <w:t>eddition</w:t>
      </w:r>
      <w:r w:rsidR="00F51438" w:rsidRPr="003F15A9">
        <w:rPr>
          <w:rFonts w:ascii="Times New Roman" w:hAnsi="Times New Roman"/>
          <w:sz w:val="24"/>
          <w:szCs w:val="24"/>
        </w:rPr>
        <w:t xml:space="preserve"> des comptes et l’amélioration de leur fonctionnement</w:t>
      </w:r>
      <w:r w:rsidR="000C1697">
        <w:rPr>
          <w:rFonts w:ascii="Times New Roman" w:hAnsi="Times New Roman"/>
          <w:sz w:val="24"/>
          <w:szCs w:val="24"/>
        </w:rPr>
        <w:t>,</w:t>
      </w:r>
    </w:p>
    <w:p w14:paraId="22138839" w14:textId="77777777" w:rsidR="000715A5" w:rsidRDefault="000715A5" w:rsidP="00F0199F">
      <w:pPr>
        <w:widowControl w:val="0"/>
        <w:ind w:right="-1"/>
        <w:jc w:val="both"/>
      </w:pPr>
    </w:p>
    <w:p w14:paraId="625DBF22" w14:textId="77777777" w:rsidR="00F51438" w:rsidRPr="001B74C0" w:rsidRDefault="004100E2"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sidRPr="001B74C0">
        <w:rPr>
          <w:rFonts w:ascii="Times New Roman" w:hAnsi="Times New Roman"/>
          <w:sz w:val="24"/>
          <w:szCs w:val="24"/>
        </w:rPr>
        <w:t>la</w:t>
      </w:r>
      <w:proofErr w:type="gramEnd"/>
      <w:r w:rsidRPr="001B74C0">
        <w:rPr>
          <w:rFonts w:ascii="Times New Roman" w:hAnsi="Times New Roman"/>
          <w:sz w:val="24"/>
          <w:szCs w:val="24"/>
        </w:rPr>
        <w:t xml:space="preserve"> </w:t>
      </w:r>
      <w:r w:rsidRPr="00F86253">
        <w:rPr>
          <w:rFonts w:ascii="Times New Roman" w:hAnsi="Times New Roman"/>
          <w:i/>
          <w:sz w:val="24"/>
          <w:szCs w:val="24"/>
        </w:rPr>
        <w:t>Recommandation</w:t>
      </w:r>
      <w:r w:rsidR="00F51438" w:rsidRPr="00F86253">
        <w:rPr>
          <w:rFonts w:ascii="Times New Roman" w:hAnsi="Times New Roman"/>
          <w:i/>
          <w:sz w:val="24"/>
          <w:szCs w:val="24"/>
        </w:rPr>
        <w:t xml:space="preserve"> n°</w:t>
      </w:r>
      <w:r w:rsidR="00F86253" w:rsidRPr="00F86253">
        <w:rPr>
          <w:rFonts w:ascii="Times New Roman" w:hAnsi="Times New Roman"/>
          <w:i/>
          <w:sz w:val="24"/>
          <w:szCs w:val="24"/>
        </w:rPr>
        <w:t xml:space="preserve"> </w:t>
      </w:r>
      <w:r w:rsidR="00F51438" w:rsidRPr="00F86253">
        <w:rPr>
          <w:rFonts w:ascii="Times New Roman" w:hAnsi="Times New Roman"/>
          <w:i/>
          <w:sz w:val="24"/>
          <w:szCs w:val="24"/>
        </w:rPr>
        <w:t xml:space="preserve">2020-05/AG-EPE relative à l’amélioration du niveau de recouvrement des créances des </w:t>
      </w:r>
      <w:r w:rsidR="00F86253" w:rsidRPr="00F86253">
        <w:rPr>
          <w:rFonts w:ascii="Times New Roman" w:hAnsi="Times New Roman"/>
          <w:i/>
          <w:sz w:val="24"/>
          <w:szCs w:val="24"/>
        </w:rPr>
        <w:t>FNF</w:t>
      </w:r>
      <w:r w:rsidR="00F51438" w:rsidRPr="001B74C0">
        <w:rPr>
          <w:rFonts w:ascii="Times New Roman" w:hAnsi="Times New Roman"/>
          <w:sz w:val="24"/>
          <w:szCs w:val="24"/>
        </w:rPr>
        <w:t xml:space="preserve"> </w:t>
      </w:r>
      <w:r w:rsidR="00F86253">
        <w:rPr>
          <w:rFonts w:ascii="Times New Roman" w:hAnsi="Times New Roman"/>
          <w:sz w:val="24"/>
          <w:szCs w:val="24"/>
        </w:rPr>
        <w:t>au sujet de laquelle</w:t>
      </w:r>
      <w:r w:rsidR="00E316FF">
        <w:rPr>
          <w:rFonts w:ascii="Times New Roman" w:hAnsi="Times New Roman"/>
          <w:sz w:val="24"/>
          <w:szCs w:val="24"/>
        </w:rPr>
        <w:t xml:space="preserve"> on note</w:t>
      </w:r>
      <w:r w:rsidR="005550DB">
        <w:rPr>
          <w:rFonts w:ascii="Times New Roman" w:hAnsi="Times New Roman"/>
          <w:sz w:val="24"/>
          <w:szCs w:val="24"/>
        </w:rPr>
        <w:t xml:space="preserve"> l’organisation d’</w:t>
      </w:r>
      <w:r w:rsidR="00F51438" w:rsidRPr="001B74C0">
        <w:rPr>
          <w:rFonts w:ascii="Times New Roman" w:hAnsi="Times New Roman"/>
          <w:sz w:val="24"/>
          <w:szCs w:val="24"/>
        </w:rPr>
        <w:t xml:space="preserve">opérations spéciales de recouvrement </w:t>
      </w:r>
      <w:r w:rsidR="005550DB">
        <w:rPr>
          <w:rFonts w:ascii="Times New Roman" w:hAnsi="Times New Roman"/>
          <w:sz w:val="24"/>
          <w:szCs w:val="24"/>
        </w:rPr>
        <w:t>et la conduite de</w:t>
      </w:r>
      <w:r w:rsidR="00F51438" w:rsidRPr="001B74C0">
        <w:rPr>
          <w:rFonts w:ascii="Times New Roman" w:hAnsi="Times New Roman"/>
          <w:sz w:val="24"/>
          <w:szCs w:val="24"/>
        </w:rPr>
        <w:t xml:space="preserve"> réflexions visant à l’élaboration et à la mise en œuvre de stratégies et de mécanismes de recouvrement des créances</w:t>
      </w:r>
      <w:r w:rsidR="00DE594B">
        <w:rPr>
          <w:rFonts w:ascii="Times New Roman" w:hAnsi="Times New Roman"/>
          <w:sz w:val="24"/>
          <w:szCs w:val="24"/>
        </w:rPr>
        <w:t>,</w:t>
      </w:r>
    </w:p>
    <w:p w14:paraId="417A5FAE" w14:textId="77777777" w:rsidR="000715A5" w:rsidRDefault="000715A5" w:rsidP="00F0199F">
      <w:pPr>
        <w:widowControl w:val="0"/>
        <w:ind w:right="-1"/>
        <w:jc w:val="both"/>
      </w:pPr>
    </w:p>
    <w:p w14:paraId="0EB5785F" w14:textId="77777777" w:rsidR="004100E2" w:rsidRPr="0053210F" w:rsidRDefault="00902B59" w:rsidP="00F0199F">
      <w:pPr>
        <w:pStyle w:val="Paragraphedeliste"/>
        <w:widowControl w:val="0"/>
        <w:numPr>
          <w:ilvl w:val="0"/>
          <w:numId w:val="35"/>
        </w:numPr>
        <w:spacing w:after="0" w:line="240" w:lineRule="auto"/>
        <w:ind w:left="284" w:right="-1" w:hanging="284"/>
        <w:jc w:val="both"/>
        <w:rPr>
          <w:rFonts w:ascii="Times New Roman" w:hAnsi="Times New Roman"/>
          <w:sz w:val="24"/>
          <w:szCs w:val="24"/>
        </w:rPr>
      </w:pPr>
      <w:proofErr w:type="gramStart"/>
      <w:r w:rsidRPr="0053210F">
        <w:rPr>
          <w:rFonts w:ascii="Times New Roman" w:hAnsi="Times New Roman"/>
          <w:sz w:val="24"/>
          <w:szCs w:val="24"/>
        </w:rPr>
        <w:t>et</w:t>
      </w:r>
      <w:proofErr w:type="gramEnd"/>
      <w:r w:rsidR="004100E2" w:rsidRPr="0053210F">
        <w:rPr>
          <w:rFonts w:ascii="Times New Roman" w:hAnsi="Times New Roman"/>
          <w:sz w:val="24"/>
          <w:szCs w:val="24"/>
        </w:rPr>
        <w:t xml:space="preserve"> la </w:t>
      </w:r>
      <w:r w:rsidR="004100E2" w:rsidRPr="0053210F">
        <w:rPr>
          <w:rFonts w:ascii="Times New Roman" w:hAnsi="Times New Roman"/>
          <w:i/>
          <w:sz w:val="24"/>
          <w:szCs w:val="24"/>
        </w:rPr>
        <w:t>Recommandation n°</w:t>
      </w:r>
      <w:r w:rsidRPr="0053210F">
        <w:rPr>
          <w:rFonts w:ascii="Times New Roman" w:hAnsi="Times New Roman"/>
          <w:i/>
          <w:sz w:val="24"/>
          <w:szCs w:val="24"/>
        </w:rPr>
        <w:t xml:space="preserve"> </w:t>
      </w:r>
      <w:r w:rsidR="004100E2" w:rsidRPr="0053210F">
        <w:rPr>
          <w:rFonts w:ascii="Times New Roman" w:hAnsi="Times New Roman"/>
          <w:i/>
          <w:sz w:val="24"/>
          <w:szCs w:val="24"/>
        </w:rPr>
        <w:t>2020-06/AG-EPE relative à la fixation de l’âge de départ à la retraite des agents contractuels des EPE</w:t>
      </w:r>
      <w:r w:rsidR="0053210F">
        <w:rPr>
          <w:rFonts w:ascii="Times New Roman" w:hAnsi="Times New Roman"/>
          <w:sz w:val="24"/>
          <w:szCs w:val="24"/>
        </w:rPr>
        <w:t xml:space="preserve">, avec les orientations données pour </w:t>
      </w:r>
      <w:r w:rsidR="0053210F" w:rsidRPr="0053210F">
        <w:rPr>
          <w:rFonts w:ascii="Times New Roman" w:hAnsi="Times New Roman"/>
          <w:sz w:val="24"/>
          <w:szCs w:val="24"/>
        </w:rPr>
        <w:t>appliquer la limite d’âge de la caisse de cotisation en attendant que la relecture de la loi 033</w:t>
      </w:r>
      <w:r w:rsidR="0053210F">
        <w:rPr>
          <w:rFonts w:ascii="Times New Roman" w:hAnsi="Times New Roman"/>
          <w:sz w:val="24"/>
          <w:szCs w:val="24"/>
        </w:rPr>
        <w:t xml:space="preserve">, qui est en cours, </w:t>
      </w:r>
      <w:r w:rsidR="0053210F" w:rsidRPr="0053210F">
        <w:rPr>
          <w:rFonts w:ascii="Times New Roman" w:hAnsi="Times New Roman"/>
          <w:sz w:val="24"/>
          <w:szCs w:val="24"/>
        </w:rPr>
        <w:t>résolve définitivement le problème</w:t>
      </w:r>
      <w:r w:rsidR="0053210F">
        <w:rPr>
          <w:rFonts w:ascii="Times New Roman" w:hAnsi="Times New Roman"/>
          <w:sz w:val="24"/>
          <w:szCs w:val="24"/>
        </w:rPr>
        <w:t>.</w:t>
      </w:r>
    </w:p>
    <w:p w14:paraId="62D7860A" w14:textId="77777777" w:rsidR="000715A5" w:rsidRDefault="000715A5" w:rsidP="00F0199F">
      <w:pPr>
        <w:widowControl w:val="0"/>
        <w:ind w:right="-1"/>
        <w:jc w:val="both"/>
      </w:pPr>
    </w:p>
    <w:p w14:paraId="013E09F3" w14:textId="77777777" w:rsidR="008C1947" w:rsidRPr="00F40034" w:rsidRDefault="008C1947" w:rsidP="008C1947">
      <w:pPr>
        <w:pStyle w:val="Corpsdetexte"/>
        <w:widowControl w:val="0"/>
        <w:numPr>
          <w:ilvl w:val="0"/>
          <w:numId w:val="26"/>
        </w:numPr>
        <w:ind w:left="284" w:right="-1" w:hanging="284"/>
        <w:jc w:val="both"/>
        <w:rPr>
          <w:b/>
          <w:szCs w:val="24"/>
        </w:rPr>
      </w:pPr>
      <w:r>
        <w:rPr>
          <w:b/>
          <w:szCs w:val="24"/>
        </w:rPr>
        <w:t>F</w:t>
      </w:r>
      <w:r w:rsidRPr="00F40034">
        <w:rPr>
          <w:b/>
          <w:szCs w:val="24"/>
        </w:rPr>
        <w:t>onctionnement des EPE</w:t>
      </w:r>
    </w:p>
    <w:p w14:paraId="44105A5C" w14:textId="77777777" w:rsidR="008C1947" w:rsidRDefault="008C1947" w:rsidP="008C1947">
      <w:pPr>
        <w:widowControl w:val="0"/>
        <w:ind w:right="-1"/>
        <w:jc w:val="both"/>
      </w:pPr>
    </w:p>
    <w:p w14:paraId="42676645" w14:textId="77777777" w:rsidR="00CC34C7" w:rsidRDefault="00137263" w:rsidP="008C1947">
      <w:pPr>
        <w:widowControl w:val="0"/>
        <w:ind w:right="-1"/>
        <w:jc w:val="both"/>
      </w:pPr>
      <w:r>
        <w:t>La revue du fonctionnement des EPE</w:t>
      </w:r>
      <w:r w:rsidR="005E585B">
        <w:t xml:space="preserve"> révèle </w:t>
      </w:r>
      <w:r w:rsidR="008C1947" w:rsidRPr="00F40034">
        <w:t xml:space="preserve">que </w:t>
      </w:r>
      <w:r w:rsidR="005E585B">
        <w:t>ceux</w:t>
      </w:r>
      <w:r w:rsidR="008C1947" w:rsidRPr="00F40034">
        <w:t xml:space="preserve"> nouvellement créés n’ont pas disposé à temps d’organes d’administration et de gestion conformément à la règlementation.</w:t>
      </w:r>
      <w:r w:rsidR="00CC34C7">
        <w:t xml:space="preserve"> Il s’agit précisément de </w:t>
      </w:r>
      <w:r w:rsidR="00A76A7E" w:rsidRPr="00F40034">
        <w:t>l’</w:t>
      </w:r>
      <w:r w:rsidR="00A76A7E">
        <w:t>É</w:t>
      </w:r>
      <w:r w:rsidR="00A76A7E" w:rsidRPr="00F40034">
        <w:t xml:space="preserve">cole </w:t>
      </w:r>
      <w:r w:rsidR="00A76A7E">
        <w:t>n</w:t>
      </w:r>
      <w:r w:rsidR="00A76A7E" w:rsidRPr="00F40034">
        <w:t xml:space="preserve">ormale </w:t>
      </w:r>
      <w:r w:rsidR="00A76A7E">
        <w:t>s</w:t>
      </w:r>
      <w:r w:rsidR="00A76A7E" w:rsidRPr="00F40034">
        <w:t xml:space="preserve">upérieure de Koudougou (ENSK), </w:t>
      </w:r>
      <w:r w:rsidR="00A76A7E">
        <w:t>du</w:t>
      </w:r>
      <w:r w:rsidR="00A76A7E" w:rsidRPr="00F40034">
        <w:t xml:space="preserve"> Fonds </w:t>
      </w:r>
      <w:r w:rsidR="00A76A7E">
        <w:t>n</w:t>
      </w:r>
      <w:r w:rsidR="00A76A7E" w:rsidRPr="00F40034">
        <w:t xml:space="preserve">ational de la </w:t>
      </w:r>
      <w:r w:rsidR="00A76A7E">
        <w:t>f</w:t>
      </w:r>
      <w:r w:rsidR="00A76A7E" w:rsidRPr="00F40034">
        <w:t xml:space="preserve">inance </w:t>
      </w:r>
      <w:r w:rsidR="00A76A7E">
        <w:t>i</w:t>
      </w:r>
      <w:r w:rsidR="00A76A7E" w:rsidRPr="00F40034">
        <w:t xml:space="preserve">nclusive (FONAFI), </w:t>
      </w:r>
      <w:r w:rsidR="00A76A7E">
        <w:t>du</w:t>
      </w:r>
      <w:r w:rsidR="00A76A7E" w:rsidRPr="00F40034">
        <w:t xml:space="preserve"> Fonds </w:t>
      </w:r>
      <w:r w:rsidR="00A76A7E">
        <w:t>s</w:t>
      </w:r>
      <w:r w:rsidR="00A76A7E" w:rsidRPr="00F40034">
        <w:t xml:space="preserve">pécial </w:t>
      </w:r>
      <w:r w:rsidR="00A76A7E">
        <w:t>r</w:t>
      </w:r>
      <w:r w:rsidR="00A76A7E" w:rsidRPr="00F40034">
        <w:t xml:space="preserve">outier du Burkina (FSR-B) et </w:t>
      </w:r>
      <w:r w:rsidR="00A76A7E">
        <w:t xml:space="preserve">de </w:t>
      </w:r>
      <w:r w:rsidR="00A76A7E" w:rsidRPr="00F40034">
        <w:t xml:space="preserve">l’Université </w:t>
      </w:r>
      <w:r w:rsidR="00A76A7E">
        <w:t>v</w:t>
      </w:r>
      <w:r w:rsidR="00A76A7E" w:rsidRPr="00F40034">
        <w:t>irtuelle du Burkina Faso (UV-BF)</w:t>
      </w:r>
      <w:r w:rsidR="00CC34C7">
        <w:t xml:space="preserve"> qui, n’étant pas à mesure </w:t>
      </w:r>
      <w:r w:rsidR="00CC34C7" w:rsidRPr="00F40034">
        <w:t>de présenter des états financiers en bonne et due forme</w:t>
      </w:r>
      <w:r w:rsidR="00CC34C7">
        <w:t xml:space="preserve">, </w:t>
      </w:r>
      <w:r w:rsidR="00E2525E">
        <w:t>ni</w:t>
      </w:r>
      <w:r w:rsidR="00CC34C7" w:rsidRPr="00F40034">
        <w:t xml:space="preserve"> des rapports de gestion des </w:t>
      </w:r>
      <w:r w:rsidR="00CC34C7">
        <w:t>CA</w:t>
      </w:r>
      <w:r w:rsidR="00CC34C7" w:rsidRPr="00F40034">
        <w:t xml:space="preserve"> au titre de l’exercice 2020</w:t>
      </w:r>
      <w:r w:rsidR="00CC34C7">
        <w:t xml:space="preserve">, </w:t>
      </w:r>
      <w:r w:rsidR="00CC34C7" w:rsidRPr="00F40034">
        <w:t>ont soumis à titre exceptionnel, pour audition, des rapports d’explication.</w:t>
      </w:r>
    </w:p>
    <w:p w14:paraId="13CB4B1F" w14:textId="77777777" w:rsidR="00C53F62" w:rsidRPr="00F40034" w:rsidRDefault="00C53F62" w:rsidP="008C1947">
      <w:pPr>
        <w:widowControl w:val="0"/>
        <w:ind w:right="-1"/>
        <w:jc w:val="both"/>
      </w:pPr>
    </w:p>
    <w:p w14:paraId="790DA6DF" w14:textId="77777777" w:rsidR="008C1947" w:rsidRDefault="00FB36A2" w:rsidP="008C1947">
      <w:pPr>
        <w:widowControl w:val="0"/>
        <w:ind w:right="-1"/>
        <w:jc w:val="both"/>
      </w:pPr>
      <w:r>
        <w:t>En outre</w:t>
      </w:r>
      <w:r w:rsidR="008C1947" w:rsidRPr="00F40034">
        <w:t xml:space="preserve">, les mandats de certains administrateurs de CA </w:t>
      </w:r>
      <w:r w:rsidR="005E585B">
        <w:t>arrivent</w:t>
      </w:r>
      <w:r w:rsidR="008C1947" w:rsidRPr="00F40034">
        <w:t xml:space="preserve"> à expiration et doivent être remplacés.</w:t>
      </w:r>
    </w:p>
    <w:p w14:paraId="1BC7A536" w14:textId="77777777" w:rsidR="008C1947" w:rsidRPr="00F40034" w:rsidRDefault="008C1947" w:rsidP="008C1947">
      <w:pPr>
        <w:widowControl w:val="0"/>
        <w:ind w:right="-1"/>
        <w:jc w:val="both"/>
      </w:pPr>
    </w:p>
    <w:p w14:paraId="5519C72E" w14:textId="77777777" w:rsidR="008C1947" w:rsidRDefault="005E585B" w:rsidP="008C1947">
      <w:pPr>
        <w:widowControl w:val="0"/>
        <w:ind w:right="-1"/>
        <w:jc w:val="both"/>
      </w:pPr>
      <w:r>
        <w:t>La plupart</w:t>
      </w:r>
      <w:r w:rsidR="008C1947" w:rsidRPr="00F40034">
        <w:t xml:space="preserve"> des EPE </w:t>
      </w:r>
      <w:r>
        <w:t>dispose</w:t>
      </w:r>
      <w:r w:rsidR="008C1947" w:rsidRPr="00F40034">
        <w:t xml:space="preserve"> de directeur de l’administration des finances ou de directeur financier et comptable, d</w:t>
      </w:r>
      <w:r>
        <w:t>’</w:t>
      </w:r>
      <w:r w:rsidR="008C1947" w:rsidRPr="00F40034">
        <w:t>agents comptables, de directeur du contrôle des marchés publics et des engagements financiers ou de commissaires aux comptes régulièrement nommés ou recrutés.</w:t>
      </w:r>
      <w:r w:rsidR="00FB36A2">
        <w:t xml:space="preserve"> </w:t>
      </w:r>
      <w:r w:rsidR="008C1947" w:rsidRPr="00F40034">
        <w:t>Cependant, certains EPE ne disposent pas de personne responsable des marchés ou d’auditeur interne.</w:t>
      </w:r>
    </w:p>
    <w:p w14:paraId="58FB2340" w14:textId="77777777" w:rsidR="008C1947" w:rsidRPr="00F40034" w:rsidRDefault="008C1947" w:rsidP="008C1947">
      <w:pPr>
        <w:widowControl w:val="0"/>
        <w:ind w:right="-1"/>
        <w:jc w:val="both"/>
      </w:pPr>
    </w:p>
    <w:p w14:paraId="35842B89" w14:textId="77777777" w:rsidR="008C1947" w:rsidRDefault="005400DB" w:rsidP="008C1947">
      <w:pPr>
        <w:widowControl w:val="0"/>
        <w:ind w:right="-1"/>
        <w:jc w:val="both"/>
      </w:pPr>
      <w:r>
        <w:t xml:space="preserve">Dans l’ensemble, les EPE </w:t>
      </w:r>
      <w:r w:rsidR="008C1947" w:rsidRPr="00F40034">
        <w:t>respect</w:t>
      </w:r>
      <w:r>
        <w:t>ent</w:t>
      </w:r>
      <w:r w:rsidR="008C1947" w:rsidRPr="00F40034">
        <w:t xml:space="preserve"> la r</w:t>
      </w:r>
      <w:r w:rsidR="005E585B">
        <w:t>è</w:t>
      </w:r>
      <w:r w:rsidR="008C1947" w:rsidRPr="00F40034">
        <w:t>glementation</w:t>
      </w:r>
      <w:r>
        <w:t xml:space="preserve"> en matière de </w:t>
      </w:r>
      <w:r w:rsidR="008C1947" w:rsidRPr="00F40034">
        <w:t>tenue des sessions de CA</w:t>
      </w:r>
      <w:r>
        <w:t xml:space="preserve"> et de</w:t>
      </w:r>
      <w:r w:rsidR="008C1947" w:rsidRPr="00F40034">
        <w:t xml:space="preserve"> transmission des procès-verbaux aux Ministres de tutelle </w:t>
      </w:r>
      <w:r>
        <w:t>dans le</w:t>
      </w:r>
      <w:r w:rsidR="008C1947" w:rsidRPr="00F40034">
        <w:t xml:space="preserve"> délai maximum de 21 jours.</w:t>
      </w:r>
    </w:p>
    <w:p w14:paraId="2A870614" w14:textId="77777777" w:rsidR="008C1947" w:rsidRPr="00F40034" w:rsidRDefault="008C1947" w:rsidP="008C1947">
      <w:pPr>
        <w:widowControl w:val="0"/>
        <w:ind w:right="-1"/>
        <w:jc w:val="both"/>
      </w:pPr>
    </w:p>
    <w:p w14:paraId="190108E8" w14:textId="77777777" w:rsidR="008C1947" w:rsidRDefault="005400DB" w:rsidP="008C1947">
      <w:pPr>
        <w:widowControl w:val="0"/>
        <w:ind w:right="-1"/>
        <w:jc w:val="both"/>
      </w:pPr>
      <w:r>
        <w:t>L</w:t>
      </w:r>
      <w:r w:rsidRPr="00F40034">
        <w:t xml:space="preserve">a quasi-totalité </w:t>
      </w:r>
      <w:r>
        <w:t xml:space="preserve">des PCA </w:t>
      </w:r>
      <w:r w:rsidRPr="00F40034">
        <w:t>a pu effectuer les deux séjours statutaires au sein de leur établissement durant l’exercice écoulé et transmettre les rapports ayant sanctionné leurs séjours.</w:t>
      </w:r>
    </w:p>
    <w:p w14:paraId="57BF6560" w14:textId="77777777" w:rsidR="008C1947" w:rsidRPr="00F40034" w:rsidRDefault="008C1947" w:rsidP="008C1947">
      <w:pPr>
        <w:widowControl w:val="0"/>
        <w:ind w:right="-1"/>
        <w:jc w:val="both"/>
      </w:pPr>
    </w:p>
    <w:p w14:paraId="64A0FD72" w14:textId="77777777" w:rsidR="008C1947" w:rsidRDefault="008C1947" w:rsidP="008C1947">
      <w:pPr>
        <w:widowControl w:val="0"/>
        <w:ind w:right="-1"/>
        <w:jc w:val="both"/>
      </w:pPr>
      <w:r w:rsidRPr="00F40034">
        <w:t>D’une manière générale, l’on peut noter que des efforts particuliers ont été déployés par les PCA pour accompagner leurs structures dans la recherche de solutions appropriées aux difficultés rencontrées.</w:t>
      </w:r>
    </w:p>
    <w:p w14:paraId="0F27FBFF" w14:textId="77777777" w:rsidR="008C1947" w:rsidRPr="00F40034" w:rsidRDefault="008C1947" w:rsidP="008C1947">
      <w:pPr>
        <w:widowControl w:val="0"/>
        <w:ind w:right="-1"/>
        <w:jc w:val="both"/>
      </w:pPr>
    </w:p>
    <w:p w14:paraId="0BFB299A" w14:textId="77777777" w:rsidR="008C1947" w:rsidRDefault="008C1947" w:rsidP="008C1947">
      <w:pPr>
        <w:widowControl w:val="0"/>
        <w:ind w:right="-1"/>
        <w:jc w:val="both"/>
      </w:pPr>
      <w:r w:rsidRPr="00F40034">
        <w:t xml:space="preserve">Le respect des délais de transmission des documents et états financiers pour la tenue de </w:t>
      </w:r>
      <w:r w:rsidR="00B22074">
        <w:t>la présente</w:t>
      </w:r>
      <w:r w:rsidRPr="00F40034">
        <w:t xml:space="preserve"> session de l’AG/EPE a été observé dans l’ensemble</w:t>
      </w:r>
      <w:r w:rsidR="00B22074">
        <w:t>,</w:t>
      </w:r>
      <w:r w:rsidRPr="00F40034">
        <w:t xml:space="preserve"> à l’exception d’un </w:t>
      </w:r>
      <w:r w:rsidR="00B22074">
        <w:t>EPE</w:t>
      </w:r>
      <w:r w:rsidRPr="00F40034">
        <w:t xml:space="preserve"> qui n’a pas pu présenter ses états financiers en bonne et due forme.</w:t>
      </w:r>
    </w:p>
    <w:p w14:paraId="3D77A2C1" w14:textId="77777777" w:rsidR="008C1947" w:rsidRPr="00F40034" w:rsidRDefault="008C1947" w:rsidP="008C1947">
      <w:pPr>
        <w:widowControl w:val="0"/>
        <w:ind w:right="-1"/>
        <w:jc w:val="both"/>
      </w:pPr>
    </w:p>
    <w:p w14:paraId="31ABAD97" w14:textId="77777777" w:rsidR="008C1947" w:rsidRDefault="00B22074" w:rsidP="008C1947">
      <w:pPr>
        <w:widowControl w:val="0"/>
        <w:ind w:right="-1"/>
        <w:jc w:val="both"/>
      </w:pPr>
      <w:r>
        <w:t>Enfin, l</w:t>
      </w:r>
      <w:r w:rsidR="008C1947" w:rsidRPr="00F40034">
        <w:t>es difficultés rencontrées par les EPE dans la production des informations économiques et financières ont été résorbées avec la formation des membres des CA et le recueil des observations des différents EPE pour la validation du canevas-type du rapport de gestion du CA.</w:t>
      </w:r>
    </w:p>
    <w:p w14:paraId="222F4DC7" w14:textId="77777777" w:rsidR="008C1947" w:rsidRDefault="008C1947" w:rsidP="00F0199F">
      <w:pPr>
        <w:widowControl w:val="0"/>
        <w:ind w:right="-1"/>
        <w:jc w:val="both"/>
      </w:pPr>
    </w:p>
    <w:p w14:paraId="0BC78F8E" w14:textId="77777777" w:rsidR="0081466A" w:rsidRDefault="00082838" w:rsidP="00082838">
      <w:pPr>
        <w:widowControl w:val="0"/>
        <w:ind w:right="-1"/>
        <w:jc w:val="both"/>
      </w:pPr>
      <w:r>
        <w:t xml:space="preserve">Cependant, comme perspectives, </w:t>
      </w:r>
      <w:r w:rsidR="0081466A" w:rsidRPr="00F40034">
        <w:t xml:space="preserve">des efforts doivent être poursuivis par les </w:t>
      </w:r>
      <w:r>
        <w:t>EPE afin :</w:t>
      </w:r>
    </w:p>
    <w:p w14:paraId="01DB0046" w14:textId="77777777" w:rsidR="0081466A" w:rsidRPr="00F40034" w:rsidRDefault="0081466A" w:rsidP="0081466A">
      <w:pPr>
        <w:pStyle w:val="Retraitcorpsdetexte"/>
        <w:widowControl w:val="0"/>
        <w:ind w:left="0" w:right="-1"/>
        <w:jc w:val="both"/>
      </w:pPr>
    </w:p>
    <w:p w14:paraId="49A62E0F" w14:textId="77777777" w:rsidR="0081466A" w:rsidRPr="00F40034" w:rsidRDefault="0081466A" w:rsidP="00082838">
      <w:pPr>
        <w:widowControl w:val="0"/>
        <w:numPr>
          <w:ilvl w:val="0"/>
          <w:numId w:val="32"/>
        </w:numPr>
        <w:ind w:left="142" w:right="-1" w:hanging="142"/>
        <w:jc w:val="both"/>
      </w:pPr>
      <w:proofErr w:type="gramStart"/>
      <w:r w:rsidRPr="00F40034">
        <w:t>d’améliorer</w:t>
      </w:r>
      <w:proofErr w:type="gramEnd"/>
      <w:r w:rsidRPr="00F40034">
        <w:t xml:space="preserve"> la qualité du service public rendu aux populations</w:t>
      </w:r>
      <w:r w:rsidR="00082838">
        <w:t>,</w:t>
      </w:r>
    </w:p>
    <w:p w14:paraId="0741CAE0" w14:textId="77777777" w:rsidR="0081466A" w:rsidRPr="00F40034" w:rsidRDefault="0081466A" w:rsidP="00082838">
      <w:pPr>
        <w:widowControl w:val="0"/>
        <w:numPr>
          <w:ilvl w:val="0"/>
          <w:numId w:val="32"/>
        </w:numPr>
        <w:ind w:left="142" w:right="-1" w:hanging="142"/>
        <w:jc w:val="both"/>
      </w:pPr>
      <w:proofErr w:type="gramStart"/>
      <w:r w:rsidRPr="00F40034">
        <w:t>de</w:t>
      </w:r>
      <w:proofErr w:type="gramEnd"/>
      <w:r w:rsidRPr="00F40034">
        <w:t xml:space="preserve"> la pleine application de la démarche de la performance à l’effet de mieux planifier et mettre en œuvre les actions entrant dans le cadre des missions</w:t>
      </w:r>
      <w:r>
        <w:t xml:space="preserve"> assignées</w:t>
      </w:r>
      <w:r w:rsidR="00082838">
        <w:t>,</w:t>
      </w:r>
    </w:p>
    <w:p w14:paraId="02109A31" w14:textId="77777777" w:rsidR="0081466A" w:rsidRPr="00F40034" w:rsidRDefault="0081466A" w:rsidP="00082838">
      <w:pPr>
        <w:widowControl w:val="0"/>
        <w:numPr>
          <w:ilvl w:val="0"/>
          <w:numId w:val="32"/>
        </w:numPr>
        <w:ind w:left="142" w:right="-1" w:hanging="142"/>
        <w:jc w:val="both"/>
      </w:pPr>
      <w:proofErr w:type="gramStart"/>
      <w:r w:rsidRPr="00F40034">
        <w:t>d’</w:t>
      </w:r>
      <w:r w:rsidR="00082838">
        <w:t>en</w:t>
      </w:r>
      <w:proofErr w:type="gramEnd"/>
      <w:r w:rsidR="00082838">
        <w:t xml:space="preserve"> </w:t>
      </w:r>
      <w:r w:rsidRPr="00F40034">
        <w:t>assurer une meilleure gouvernance</w:t>
      </w:r>
      <w:r w:rsidR="00082838">
        <w:t>,</w:t>
      </w:r>
    </w:p>
    <w:p w14:paraId="51F800B9" w14:textId="77777777" w:rsidR="0081466A" w:rsidRPr="00F40034" w:rsidRDefault="0081466A" w:rsidP="00082838">
      <w:pPr>
        <w:widowControl w:val="0"/>
        <w:numPr>
          <w:ilvl w:val="0"/>
          <w:numId w:val="32"/>
        </w:numPr>
        <w:ind w:left="142" w:right="-1" w:hanging="142"/>
        <w:jc w:val="both"/>
      </w:pPr>
      <w:proofErr w:type="gramStart"/>
      <w:r w:rsidRPr="00F40034">
        <w:t>de</w:t>
      </w:r>
      <w:proofErr w:type="gramEnd"/>
      <w:r w:rsidRPr="00F40034">
        <w:t xml:space="preserve"> mieux maitriser les charges de fonctionnement</w:t>
      </w:r>
      <w:r w:rsidR="00082838">
        <w:t>,</w:t>
      </w:r>
    </w:p>
    <w:p w14:paraId="32409885" w14:textId="77777777" w:rsidR="0081466A" w:rsidRPr="00F40034" w:rsidRDefault="0081466A" w:rsidP="00082838">
      <w:pPr>
        <w:widowControl w:val="0"/>
        <w:numPr>
          <w:ilvl w:val="0"/>
          <w:numId w:val="32"/>
        </w:numPr>
        <w:ind w:left="142" w:right="-1" w:hanging="142"/>
        <w:jc w:val="both"/>
      </w:pPr>
      <w:proofErr w:type="gramStart"/>
      <w:r w:rsidRPr="00F40034">
        <w:t>d’appliquer</w:t>
      </w:r>
      <w:proofErr w:type="gramEnd"/>
      <w:r w:rsidRPr="00F40034">
        <w:t xml:space="preserve"> le régime financier et la nomenclature budgétaire </w:t>
      </w:r>
      <w:r w:rsidR="00EF36CD">
        <w:t xml:space="preserve">qui leur sont </w:t>
      </w:r>
      <w:r w:rsidRPr="00F40034">
        <w:t>applicables</w:t>
      </w:r>
      <w:r w:rsidR="00082838">
        <w:t>,</w:t>
      </w:r>
    </w:p>
    <w:p w14:paraId="7327F297" w14:textId="77777777" w:rsidR="0081466A" w:rsidRPr="00F40034" w:rsidRDefault="0081466A" w:rsidP="00082838">
      <w:pPr>
        <w:widowControl w:val="0"/>
        <w:numPr>
          <w:ilvl w:val="0"/>
          <w:numId w:val="32"/>
        </w:numPr>
        <w:ind w:left="142" w:right="-1" w:hanging="142"/>
        <w:jc w:val="both"/>
      </w:pPr>
      <w:proofErr w:type="gramStart"/>
      <w:r w:rsidRPr="00F40034">
        <w:t>d’appliquer</w:t>
      </w:r>
      <w:proofErr w:type="gramEnd"/>
      <w:r w:rsidRPr="00F40034">
        <w:t xml:space="preserve"> effectivement les dispositions de la loi n°</w:t>
      </w:r>
      <w:r w:rsidR="00EF36CD">
        <w:t xml:space="preserve"> </w:t>
      </w:r>
      <w:r w:rsidRPr="00F40034">
        <w:t xml:space="preserve">033/AN/2008 portant régime juridique applicable </w:t>
      </w:r>
      <w:r w:rsidR="00EF36CD">
        <w:t>à leurs</w:t>
      </w:r>
      <w:r w:rsidRPr="00F40034">
        <w:t xml:space="preserve"> emplois et agents</w:t>
      </w:r>
      <w:r w:rsidR="00EF36CD">
        <w:t>,</w:t>
      </w:r>
    </w:p>
    <w:p w14:paraId="5E92879C" w14:textId="77777777" w:rsidR="0081466A" w:rsidRPr="00F40034" w:rsidRDefault="0081466A" w:rsidP="00082838">
      <w:pPr>
        <w:widowControl w:val="0"/>
        <w:numPr>
          <w:ilvl w:val="0"/>
          <w:numId w:val="32"/>
        </w:numPr>
        <w:ind w:left="142" w:right="-1" w:hanging="142"/>
        <w:jc w:val="both"/>
      </w:pPr>
      <w:proofErr w:type="gramStart"/>
      <w:r w:rsidRPr="00F40034">
        <w:t>de</w:t>
      </w:r>
      <w:proofErr w:type="gramEnd"/>
      <w:r w:rsidRPr="00F40034">
        <w:t xml:space="preserve"> renforcer les capacités de</w:t>
      </w:r>
      <w:r w:rsidR="00EF36CD">
        <w:t xml:space="preserve"> leur</w:t>
      </w:r>
      <w:r w:rsidRPr="00F40034">
        <w:t>s acteurs.</w:t>
      </w:r>
    </w:p>
    <w:p w14:paraId="36695625" w14:textId="77777777" w:rsidR="0081466A" w:rsidRDefault="0081466A" w:rsidP="0081466A">
      <w:pPr>
        <w:pStyle w:val="Corpsdetexte2"/>
        <w:widowControl w:val="0"/>
        <w:ind w:right="-1"/>
      </w:pPr>
    </w:p>
    <w:p w14:paraId="021AA78E" w14:textId="77777777" w:rsidR="0081466A" w:rsidRDefault="00EF36CD" w:rsidP="0081466A">
      <w:pPr>
        <w:pStyle w:val="Corpsdetexte2"/>
        <w:widowControl w:val="0"/>
        <w:ind w:right="-1"/>
      </w:pPr>
      <w:r>
        <w:t>En ce qui concerne spécifiquement</w:t>
      </w:r>
      <w:r w:rsidR="0081466A" w:rsidRPr="00F40034">
        <w:t xml:space="preserve"> l’amélioration de la gestion des FN, des actions fortes doivent être menées concernant :</w:t>
      </w:r>
    </w:p>
    <w:p w14:paraId="539AAB75" w14:textId="77777777" w:rsidR="0081466A" w:rsidRPr="00F40034" w:rsidRDefault="0081466A" w:rsidP="0081466A">
      <w:pPr>
        <w:pStyle w:val="Corpsdetexte2"/>
        <w:widowControl w:val="0"/>
        <w:ind w:right="-1"/>
      </w:pPr>
    </w:p>
    <w:p w14:paraId="6FB07C2C" w14:textId="77777777" w:rsidR="0081466A" w:rsidRPr="00F40034" w:rsidRDefault="0081466A" w:rsidP="00EF36CD">
      <w:pPr>
        <w:widowControl w:val="0"/>
        <w:numPr>
          <w:ilvl w:val="0"/>
          <w:numId w:val="32"/>
        </w:numPr>
        <w:ind w:left="142" w:right="-1" w:hanging="142"/>
        <w:jc w:val="both"/>
      </w:pPr>
      <w:proofErr w:type="gramStart"/>
      <w:r w:rsidRPr="00F40034">
        <w:t>l’adoption</w:t>
      </w:r>
      <w:proofErr w:type="gramEnd"/>
      <w:r w:rsidRPr="00F40034">
        <w:t xml:space="preserve"> et l’application d</w:t>
      </w:r>
      <w:r w:rsidR="00EF36CD">
        <w:t>e leurs</w:t>
      </w:r>
      <w:r w:rsidRPr="00F40034">
        <w:t xml:space="preserve"> régime financier, nomenclature budgétaire et référentiel comptable</w:t>
      </w:r>
      <w:r w:rsidR="00EF36CD">
        <w:t>,</w:t>
      </w:r>
    </w:p>
    <w:p w14:paraId="60989E91" w14:textId="77777777" w:rsidR="0081466A" w:rsidRPr="00F40034" w:rsidRDefault="0081466A" w:rsidP="00EF36CD">
      <w:pPr>
        <w:widowControl w:val="0"/>
        <w:numPr>
          <w:ilvl w:val="0"/>
          <w:numId w:val="32"/>
        </w:numPr>
        <w:ind w:left="142" w:right="-1" w:hanging="142"/>
        <w:jc w:val="both"/>
      </w:pPr>
      <w:proofErr w:type="gramStart"/>
      <w:r w:rsidRPr="00F40034">
        <w:t>l</w:t>
      </w:r>
      <w:r w:rsidR="00EF36CD">
        <w:t>eur</w:t>
      </w:r>
      <w:proofErr w:type="gramEnd"/>
      <w:r w:rsidRPr="00F40034">
        <w:t xml:space="preserve"> rationalisation</w:t>
      </w:r>
      <w:r w:rsidR="00EF36CD">
        <w:t>,</w:t>
      </w:r>
    </w:p>
    <w:p w14:paraId="5A0800CF" w14:textId="77777777" w:rsidR="0081466A" w:rsidRPr="00F40034" w:rsidRDefault="0081466A" w:rsidP="00EF36CD">
      <w:pPr>
        <w:widowControl w:val="0"/>
        <w:numPr>
          <w:ilvl w:val="0"/>
          <w:numId w:val="32"/>
        </w:numPr>
        <w:ind w:left="142" w:right="-1" w:hanging="142"/>
        <w:jc w:val="both"/>
      </w:pPr>
      <w:proofErr w:type="gramStart"/>
      <w:r w:rsidRPr="00F40034">
        <w:t>le</w:t>
      </w:r>
      <w:proofErr w:type="gramEnd"/>
      <w:r w:rsidRPr="00F40034">
        <w:t xml:space="preserve"> renforcement des capacités de</w:t>
      </w:r>
      <w:r w:rsidR="00EF36CD">
        <w:t xml:space="preserve"> leur</w:t>
      </w:r>
      <w:r w:rsidRPr="00F40034">
        <w:t>s acteurs</w:t>
      </w:r>
      <w:r w:rsidR="00EF36CD">
        <w:t>,</w:t>
      </w:r>
    </w:p>
    <w:p w14:paraId="0013E0C4" w14:textId="77777777" w:rsidR="0081466A" w:rsidRPr="00F40034" w:rsidRDefault="0081466A" w:rsidP="00EF36CD">
      <w:pPr>
        <w:widowControl w:val="0"/>
        <w:numPr>
          <w:ilvl w:val="0"/>
          <w:numId w:val="32"/>
        </w:numPr>
        <w:ind w:left="142" w:right="-1" w:hanging="142"/>
        <w:jc w:val="both"/>
      </w:pPr>
      <w:proofErr w:type="gramStart"/>
      <w:r w:rsidRPr="00F40034">
        <w:t>l’application</w:t>
      </w:r>
      <w:proofErr w:type="gramEnd"/>
      <w:r w:rsidRPr="00F40034">
        <w:t xml:space="preserve"> effective du décret n° 2014-610/PRES/PM/MEF du 24 juillet 2014 </w:t>
      </w:r>
      <w:r w:rsidR="00EF36CD">
        <w:t xml:space="preserve">relatif à leur </w:t>
      </w:r>
      <w:r w:rsidRPr="00F40034">
        <w:t>statut général</w:t>
      </w:r>
      <w:r w:rsidR="00EF36CD">
        <w:t>,</w:t>
      </w:r>
    </w:p>
    <w:p w14:paraId="15A27155" w14:textId="77777777" w:rsidR="0081466A" w:rsidRPr="00F40034" w:rsidRDefault="0081466A" w:rsidP="00EF36CD">
      <w:pPr>
        <w:widowControl w:val="0"/>
        <w:numPr>
          <w:ilvl w:val="0"/>
          <w:numId w:val="32"/>
        </w:numPr>
        <w:ind w:left="142" w:right="-1" w:hanging="142"/>
        <w:jc w:val="both"/>
      </w:pPr>
      <w:proofErr w:type="gramStart"/>
      <w:r w:rsidRPr="00F40034">
        <w:t>la</w:t>
      </w:r>
      <w:proofErr w:type="gramEnd"/>
      <w:r w:rsidRPr="00F40034">
        <w:t xml:space="preserve"> maîtrise du portefeuille de crédits et son assainissement</w:t>
      </w:r>
      <w:r w:rsidR="00EF36CD">
        <w:t>,</w:t>
      </w:r>
    </w:p>
    <w:p w14:paraId="13E29137" w14:textId="77777777" w:rsidR="0081466A" w:rsidRPr="00F40034" w:rsidRDefault="0081466A" w:rsidP="00EF36CD">
      <w:pPr>
        <w:widowControl w:val="0"/>
        <w:numPr>
          <w:ilvl w:val="0"/>
          <w:numId w:val="32"/>
        </w:numPr>
        <w:ind w:left="142" w:right="-1" w:hanging="142"/>
        <w:jc w:val="both"/>
      </w:pPr>
      <w:proofErr w:type="gramStart"/>
      <w:r w:rsidRPr="00F40034">
        <w:t>l’amélioration</w:t>
      </w:r>
      <w:proofErr w:type="gramEnd"/>
      <w:r w:rsidRPr="00F40034">
        <w:t xml:space="preserve"> des systèmes d’information et de gestion</w:t>
      </w:r>
      <w:r w:rsidR="00EF36CD">
        <w:t>,</w:t>
      </w:r>
    </w:p>
    <w:p w14:paraId="75E9A91D" w14:textId="77777777" w:rsidR="0081466A" w:rsidRPr="00F40034" w:rsidRDefault="0081466A" w:rsidP="00EF36CD">
      <w:pPr>
        <w:widowControl w:val="0"/>
        <w:numPr>
          <w:ilvl w:val="0"/>
          <w:numId w:val="32"/>
        </w:numPr>
        <w:ind w:left="142" w:right="-1" w:hanging="142"/>
        <w:jc w:val="both"/>
      </w:pPr>
      <w:proofErr w:type="gramStart"/>
      <w:r w:rsidRPr="00F40034">
        <w:t>l’adoption</w:t>
      </w:r>
      <w:proofErr w:type="gramEnd"/>
      <w:r w:rsidRPr="00F40034">
        <w:t xml:space="preserve"> de manuel de procédures et de politique de crédits.</w:t>
      </w:r>
    </w:p>
    <w:p w14:paraId="2009A5C8" w14:textId="77777777" w:rsidR="0081466A" w:rsidRDefault="0081466A" w:rsidP="00F0199F">
      <w:pPr>
        <w:widowControl w:val="0"/>
        <w:ind w:right="-1"/>
        <w:jc w:val="both"/>
      </w:pPr>
    </w:p>
    <w:p w14:paraId="2D29AED1" w14:textId="77777777" w:rsidR="003C210D" w:rsidRDefault="003C210D">
      <w:pPr>
        <w:rPr>
          <w:b/>
        </w:rPr>
      </w:pPr>
      <w:r>
        <w:rPr>
          <w:b/>
        </w:rPr>
        <w:br w:type="page"/>
      </w:r>
    </w:p>
    <w:p w14:paraId="33245481" w14:textId="77777777" w:rsidR="003527B4" w:rsidRPr="00F40034" w:rsidRDefault="003527B4" w:rsidP="00F0199F">
      <w:pPr>
        <w:pStyle w:val="Corpsdetexte"/>
        <w:widowControl w:val="0"/>
        <w:numPr>
          <w:ilvl w:val="0"/>
          <w:numId w:val="26"/>
        </w:numPr>
        <w:ind w:left="426" w:right="-1" w:hanging="426"/>
        <w:jc w:val="both"/>
        <w:rPr>
          <w:b/>
          <w:szCs w:val="24"/>
        </w:rPr>
      </w:pPr>
      <w:r w:rsidRPr="00F40034">
        <w:rPr>
          <w:b/>
          <w:szCs w:val="24"/>
        </w:rPr>
        <w:lastRenderedPageBreak/>
        <w:t>Analyse de la situation financière des EPE</w:t>
      </w:r>
    </w:p>
    <w:p w14:paraId="13CAA4C5" w14:textId="77777777" w:rsidR="000715A5" w:rsidRDefault="000715A5" w:rsidP="00F0199F">
      <w:pPr>
        <w:widowControl w:val="0"/>
        <w:ind w:right="-1"/>
        <w:jc w:val="both"/>
      </w:pPr>
    </w:p>
    <w:p w14:paraId="601FCD1E" w14:textId="77777777" w:rsidR="00B82E7A" w:rsidRDefault="00131AB4" w:rsidP="00F0199F">
      <w:pPr>
        <w:widowControl w:val="0"/>
        <w:ind w:right="-1"/>
        <w:jc w:val="both"/>
      </w:pPr>
      <w:r w:rsidRPr="00F40034">
        <w:t>L’analyse de la situation financière des 9</w:t>
      </w:r>
      <w:r w:rsidR="004100E2" w:rsidRPr="00F40034">
        <w:t>4</w:t>
      </w:r>
      <w:r w:rsidRPr="00F40034">
        <w:t xml:space="preserve"> EPE</w:t>
      </w:r>
      <w:r w:rsidR="0081466A">
        <w:t xml:space="preserve"> (en dehors des FN)</w:t>
      </w:r>
      <w:r w:rsidRPr="00F40034">
        <w:t xml:space="preserve"> ayant effectivement transmis les états financiers fait apparaître</w:t>
      </w:r>
      <w:r w:rsidR="00B82E7A">
        <w:t xml:space="preserve"> les informations suivantes :</w:t>
      </w:r>
    </w:p>
    <w:p w14:paraId="3F0CD08A" w14:textId="77777777" w:rsidR="00B82E7A" w:rsidRDefault="00B82E7A" w:rsidP="00F0199F">
      <w:pPr>
        <w:widowControl w:val="0"/>
        <w:ind w:right="-1"/>
        <w:jc w:val="both"/>
      </w:pPr>
    </w:p>
    <w:p w14:paraId="69A91366" w14:textId="77777777" w:rsidR="00B82E7A" w:rsidRPr="00EE01DB" w:rsidRDefault="00B82E7A"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EE01DB">
        <w:rPr>
          <w:rFonts w:ascii="Times New Roman" w:hAnsi="Times New Roman"/>
          <w:b/>
          <w:sz w:val="24"/>
          <w:szCs w:val="24"/>
        </w:rPr>
        <w:t>montant</w:t>
      </w:r>
      <w:proofErr w:type="gramEnd"/>
      <w:r w:rsidRPr="00EE01DB">
        <w:rPr>
          <w:rFonts w:ascii="Times New Roman" w:hAnsi="Times New Roman"/>
          <w:b/>
          <w:sz w:val="24"/>
          <w:szCs w:val="24"/>
        </w:rPr>
        <w:t xml:space="preserve"> total des recettes (y compris les subventions)</w:t>
      </w:r>
      <w:r w:rsidRPr="00EE01DB">
        <w:rPr>
          <w:rFonts w:ascii="Times New Roman" w:hAnsi="Times New Roman"/>
          <w:sz w:val="24"/>
          <w:szCs w:val="24"/>
        </w:rPr>
        <w:t xml:space="preserve"> : </w:t>
      </w:r>
      <w:r w:rsidRPr="00EE01DB">
        <w:rPr>
          <w:rFonts w:ascii="Times New Roman" w:hAnsi="Times New Roman"/>
          <w:b/>
          <w:sz w:val="24"/>
          <w:szCs w:val="24"/>
        </w:rPr>
        <w:t>263,690 milliards de FCFA</w:t>
      </w:r>
      <w:r w:rsidRPr="00EE01DB">
        <w:rPr>
          <w:rFonts w:ascii="Times New Roman" w:hAnsi="Times New Roman"/>
          <w:sz w:val="24"/>
          <w:szCs w:val="24"/>
        </w:rPr>
        <w:t xml:space="preserve"> </w:t>
      </w:r>
      <w:r w:rsidR="00EE01DB" w:rsidRPr="00EE01DB">
        <w:rPr>
          <w:rFonts w:ascii="Times New Roman" w:hAnsi="Times New Roman"/>
          <w:b/>
          <w:sz w:val="24"/>
          <w:szCs w:val="24"/>
        </w:rPr>
        <w:t>pour l’année 2020</w:t>
      </w:r>
      <w:r w:rsidR="00EE01DB">
        <w:rPr>
          <w:rFonts w:ascii="Times New Roman" w:hAnsi="Times New Roman"/>
          <w:sz w:val="24"/>
          <w:szCs w:val="24"/>
        </w:rPr>
        <w:t xml:space="preserve"> </w:t>
      </w:r>
      <w:r w:rsidRPr="00EE01DB">
        <w:rPr>
          <w:rFonts w:ascii="Times New Roman" w:hAnsi="Times New Roman"/>
          <w:sz w:val="24"/>
          <w:szCs w:val="24"/>
        </w:rPr>
        <w:t xml:space="preserve">contre </w:t>
      </w:r>
      <w:r w:rsidRPr="0025187E">
        <w:rPr>
          <w:rFonts w:ascii="Times New Roman" w:hAnsi="Times New Roman"/>
          <w:sz w:val="24"/>
          <w:szCs w:val="24"/>
        </w:rPr>
        <w:t>228,507 milliards de FCFA en 2019 et 229,039 milliards de FCFA en 2018</w:t>
      </w:r>
      <w:r w:rsidR="00EE01DB" w:rsidRPr="0025187E">
        <w:rPr>
          <w:rFonts w:ascii="Times New Roman" w:hAnsi="Times New Roman"/>
          <w:sz w:val="24"/>
          <w:szCs w:val="24"/>
        </w:rPr>
        <w:t>,</w:t>
      </w:r>
      <w:r w:rsidR="00EE01DB">
        <w:rPr>
          <w:rFonts w:ascii="Times New Roman" w:hAnsi="Times New Roman"/>
          <w:sz w:val="24"/>
          <w:szCs w:val="24"/>
        </w:rPr>
        <w:t xml:space="preserve"> soit une </w:t>
      </w:r>
      <w:r w:rsidR="00EE01DB" w:rsidRPr="00EE01DB">
        <w:rPr>
          <w:rFonts w:ascii="Times New Roman" w:hAnsi="Times New Roman"/>
          <w:b/>
          <w:sz w:val="24"/>
          <w:szCs w:val="24"/>
        </w:rPr>
        <w:t>hausse de 15,40% entre 2019 et 2020</w:t>
      </w:r>
      <w:r w:rsidR="00EE01DB">
        <w:rPr>
          <w:rFonts w:ascii="Times New Roman" w:hAnsi="Times New Roman"/>
          <w:sz w:val="24"/>
          <w:szCs w:val="24"/>
        </w:rPr>
        <w:t xml:space="preserve">, après une </w:t>
      </w:r>
      <w:r w:rsidR="00EE01DB" w:rsidRPr="0025187E">
        <w:rPr>
          <w:rFonts w:ascii="Times New Roman" w:hAnsi="Times New Roman"/>
          <w:sz w:val="24"/>
          <w:szCs w:val="24"/>
        </w:rPr>
        <w:t>légère régression de 0,23% entre 2018 et 2019</w:t>
      </w:r>
      <w:r w:rsidR="00EE01DB">
        <w:rPr>
          <w:rFonts w:ascii="Times New Roman" w:hAnsi="Times New Roman"/>
          <w:sz w:val="24"/>
          <w:szCs w:val="24"/>
        </w:rPr>
        <w:t>,</w:t>
      </w:r>
    </w:p>
    <w:p w14:paraId="165A2505" w14:textId="77777777" w:rsidR="003117E0" w:rsidRDefault="003117E0" w:rsidP="00F0199F">
      <w:pPr>
        <w:widowControl w:val="0"/>
        <w:ind w:right="-1"/>
        <w:jc w:val="both"/>
      </w:pPr>
    </w:p>
    <w:p w14:paraId="1B4AF90D" w14:textId="77777777" w:rsidR="006C5FB3" w:rsidRDefault="006C5FB3"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6C5FB3">
        <w:rPr>
          <w:rFonts w:ascii="Times New Roman" w:hAnsi="Times New Roman"/>
          <w:b/>
          <w:sz w:val="24"/>
          <w:szCs w:val="24"/>
        </w:rPr>
        <w:t>montant</w:t>
      </w:r>
      <w:proofErr w:type="gramEnd"/>
      <w:r w:rsidRPr="006C5FB3">
        <w:rPr>
          <w:rFonts w:ascii="Times New Roman" w:hAnsi="Times New Roman"/>
          <w:b/>
          <w:sz w:val="24"/>
          <w:szCs w:val="24"/>
        </w:rPr>
        <w:t xml:space="preserve"> total des</w:t>
      </w:r>
      <w:r w:rsidR="00131AB4" w:rsidRPr="006C5FB3">
        <w:rPr>
          <w:rFonts w:ascii="Times New Roman" w:hAnsi="Times New Roman"/>
          <w:b/>
          <w:sz w:val="24"/>
          <w:szCs w:val="24"/>
        </w:rPr>
        <w:t xml:space="preserve"> dépenses</w:t>
      </w:r>
      <w:r w:rsidR="00833CAF">
        <w:rPr>
          <w:rFonts w:ascii="Times New Roman" w:hAnsi="Times New Roman"/>
          <w:b/>
          <w:sz w:val="24"/>
          <w:szCs w:val="24"/>
        </w:rPr>
        <w:t xml:space="preserve"> budgétaires</w:t>
      </w:r>
      <w:r>
        <w:rPr>
          <w:rFonts w:ascii="Times New Roman" w:hAnsi="Times New Roman"/>
          <w:sz w:val="24"/>
          <w:szCs w:val="24"/>
        </w:rPr>
        <w:t> :</w:t>
      </w:r>
      <w:r w:rsidR="00131AB4" w:rsidRPr="003117E0">
        <w:rPr>
          <w:rFonts w:ascii="Times New Roman" w:hAnsi="Times New Roman"/>
          <w:sz w:val="24"/>
          <w:szCs w:val="24"/>
        </w:rPr>
        <w:t xml:space="preserve"> </w:t>
      </w:r>
      <w:r w:rsidR="00107EC2" w:rsidRPr="006C5FB3">
        <w:rPr>
          <w:rFonts w:ascii="Times New Roman" w:hAnsi="Times New Roman"/>
          <w:b/>
          <w:sz w:val="24"/>
          <w:szCs w:val="24"/>
        </w:rPr>
        <w:t>228</w:t>
      </w:r>
      <w:r w:rsidR="00131AB4" w:rsidRPr="006C5FB3">
        <w:rPr>
          <w:rFonts w:ascii="Times New Roman" w:hAnsi="Times New Roman"/>
          <w:b/>
          <w:sz w:val="24"/>
          <w:szCs w:val="24"/>
        </w:rPr>
        <w:t>,</w:t>
      </w:r>
      <w:r w:rsidR="00107EC2" w:rsidRPr="006C5FB3">
        <w:rPr>
          <w:rFonts w:ascii="Times New Roman" w:hAnsi="Times New Roman"/>
          <w:b/>
          <w:sz w:val="24"/>
          <w:szCs w:val="24"/>
        </w:rPr>
        <w:t>281</w:t>
      </w:r>
      <w:r w:rsidR="00131AB4" w:rsidRPr="006C5FB3">
        <w:rPr>
          <w:rFonts w:ascii="Times New Roman" w:hAnsi="Times New Roman"/>
          <w:b/>
          <w:sz w:val="24"/>
          <w:szCs w:val="24"/>
        </w:rPr>
        <w:t xml:space="preserve"> milliards de FCFA </w:t>
      </w:r>
      <w:r w:rsidR="00705822" w:rsidRPr="006C5FB3">
        <w:rPr>
          <w:rFonts w:ascii="Times New Roman" w:hAnsi="Times New Roman"/>
          <w:b/>
          <w:sz w:val="24"/>
          <w:szCs w:val="24"/>
        </w:rPr>
        <w:t>en 20</w:t>
      </w:r>
      <w:r w:rsidR="00107EC2" w:rsidRPr="006C5FB3">
        <w:rPr>
          <w:rFonts w:ascii="Times New Roman" w:hAnsi="Times New Roman"/>
          <w:b/>
          <w:sz w:val="24"/>
          <w:szCs w:val="24"/>
        </w:rPr>
        <w:t>20</w:t>
      </w:r>
      <w:r w:rsidR="00705822" w:rsidRPr="003117E0">
        <w:rPr>
          <w:rFonts w:ascii="Times New Roman" w:hAnsi="Times New Roman"/>
          <w:sz w:val="24"/>
          <w:szCs w:val="24"/>
        </w:rPr>
        <w:t xml:space="preserve"> </w:t>
      </w:r>
      <w:r w:rsidR="00131AB4" w:rsidRPr="003117E0">
        <w:rPr>
          <w:rFonts w:ascii="Times New Roman" w:hAnsi="Times New Roman"/>
          <w:sz w:val="24"/>
          <w:szCs w:val="24"/>
        </w:rPr>
        <w:t xml:space="preserve">contre </w:t>
      </w:r>
      <w:r w:rsidR="00107EC2" w:rsidRPr="0025187E">
        <w:rPr>
          <w:rFonts w:ascii="Times New Roman" w:hAnsi="Times New Roman"/>
          <w:sz w:val="24"/>
          <w:szCs w:val="24"/>
        </w:rPr>
        <w:t xml:space="preserve">199,704 milliards de FCFA en 2019 </w:t>
      </w:r>
      <w:r w:rsidR="00131AB4" w:rsidRPr="0025187E">
        <w:rPr>
          <w:rFonts w:ascii="Times New Roman" w:hAnsi="Times New Roman"/>
          <w:sz w:val="24"/>
          <w:szCs w:val="24"/>
        </w:rPr>
        <w:t xml:space="preserve">et </w:t>
      </w:r>
      <w:r w:rsidR="00107EC2" w:rsidRPr="0025187E">
        <w:rPr>
          <w:rFonts w:ascii="Times New Roman" w:hAnsi="Times New Roman"/>
          <w:sz w:val="24"/>
          <w:szCs w:val="24"/>
        </w:rPr>
        <w:t>190,712 milliards de FCFA en 2018</w:t>
      </w:r>
      <w:r>
        <w:rPr>
          <w:rFonts w:ascii="Times New Roman" w:hAnsi="Times New Roman"/>
          <w:sz w:val="24"/>
          <w:szCs w:val="24"/>
        </w:rPr>
        <w:t xml:space="preserve">, soit des </w:t>
      </w:r>
      <w:r w:rsidRPr="006C5FB3">
        <w:rPr>
          <w:rFonts w:ascii="Times New Roman" w:hAnsi="Times New Roman"/>
          <w:b/>
          <w:sz w:val="24"/>
          <w:szCs w:val="24"/>
        </w:rPr>
        <w:t>hausses</w:t>
      </w:r>
      <w:r w:rsidR="00131AB4" w:rsidRPr="006C5FB3">
        <w:rPr>
          <w:rFonts w:ascii="Times New Roman" w:hAnsi="Times New Roman"/>
          <w:b/>
          <w:sz w:val="24"/>
          <w:szCs w:val="24"/>
        </w:rPr>
        <w:t xml:space="preserve"> de </w:t>
      </w:r>
      <w:r w:rsidR="00107EC2" w:rsidRPr="006C5FB3">
        <w:rPr>
          <w:rFonts w:ascii="Times New Roman" w:hAnsi="Times New Roman"/>
          <w:b/>
          <w:sz w:val="24"/>
          <w:szCs w:val="24"/>
        </w:rPr>
        <w:t>1</w:t>
      </w:r>
      <w:r w:rsidR="00131AB4" w:rsidRPr="006C5FB3">
        <w:rPr>
          <w:rFonts w:ascii="Times New Roman" w:hAnsi="Times New Roman"/>
          <w:b/>
          <w:sz w:val="24"/>
          <w:szCs w:val="24"/>
        </w:rPr>
        <w:t>4,</w:t>
      </w:r>
      <w:r w:rsidR="00107EC2" w:rsidRPr="006C5FB3">
        <w:rPr>
          <w:rFonts w:ascii="Times New Roman" w:hAnsi="Times New Roman"/>
          <w:b/>
          <w:sz w:val="24"/>
          <w:szCs w:val="24"/>
        </w:rPr>
        <w:t>3</w:t>
      </w:r>
      <w:r w:rsidR="00131AB4" w:rsidRPr="006C5FB3">
        <w:rPr>
          <w:rFonts w:ascii="Times New Roman" w:hAnsi="Times New Roman"/>
          <w:b/>
          <w:sz w:val="24"/>
          <w:szCs w:val="24"/>
        </w:rPr>
        <w:t xml:space="preserve">1% </w:t>
      </w:r>
      <w:r w:rsidRPr="006C5FB3">
        <w:rPr>
          <w:rFonts w:ascii="Times New Roman" w:hAnsi="Times New Roman"/>
          <w:b/>
          <w:sz w:val="24"/>
          <w:szCs w:val="24"/>
        </w:rPr>
        <w:t>entre 2019 et 2020</w:t>
      </w:r>
      <w:r>
        <w:rPr>
          <w:rFonts w:ascii="Times New Roman" w:hAnsi="Times New Roman"/>
          <w:sz w:val="24"/>
          <w:szCs w:val="24"/>
        </w:rPr>
        <w:t xml:space="preserve"> et </w:t>
      </w:r>
      <w:r w:rsidR="00131AB4" w:rsidRPr="003117E0">
        <w:rPr>
          <w:rFonts w:ascii="Times New Roman" w:hAnsi="Times New Roman"/>
          <w:sz w:val="24"/>
          <w:szCs w:val="24"/>
        </w:rPr>
        <w:t xml:space="preserve">de </w:t>
      </w:r>
      <w:r w:rsidR="00107EC2" w:rsidRPr="0025187E">
        <w:rPr>
          <w:rFonts w:ascii="Times New Roman" w:hAnsi="Times New Roman"/>
          <w:sz w:val="24"/>
          <w:szCs w:val="24"/>
        </w:rPr>
        <w:t xml:space="preserve">4,71% </w:t>
      </w:r>
      <w:r w:rsidRPr="0025187E">
        <w:rPr>
          <w:rFonts w:ascii="Times New Roman" w:hAnsi="Times New Roman"/>
          <w:sz w:val="24"/>
          <w:szCs w:val="24"/>
        </w:rPr>
        <w:t>entre</w:t>
      </w:r>
      <w:r w:rsidR="00131AB4" w:rsidRPr="0025187E">
        <w:rPr>
          <w:rFonts w:ascii="Times New Roman" w:hAnsi="Times New Roman"/>
          <w:sz w:val="24"/>
          <w:szCs w:val="24"/>
        </w:rPr>
        <w:t xml:space="preserve"> 201</w:t>
      </w:r>
      <w:r w:rsidR="00107EC2" w:rsidRPr="0025187E">
        <w:rPr>
          <w:rFonts w:ascii="Times New Roman" w:hAnsi="Times New Roman"/>
          <w:sz w:val="24"/>
          <w:szCs w:val="24"/>
        </w:rPr>
        <w:t>8</w:t>
      </w:r>
      <w:r w:rsidRPr="0025187E">
        <w:rPr>
          <w:rFonts w:ascii="Times New Roman" w:hAnsi="Times New Roman"/>
          <w:sz w:val="24"/>
          <w:szCs w:val="24"/>
        </w:rPr>
        <w:t xml:space="preserve"> et 2019</w:t>
      </w:r>
      <w:r>
        <w:rPr>
          <w:rFonts w:ascii="Times New Roman" w:hAnsi="Times New Roman"/>
          <w:sz w:val="24"/>
          <w:szCs w:val="24"/>
        </w:rPr>
        <w:t>,</w:t>
      </w:r>
    </w:p>
    <w:p w14:paraId="26411F19" w14:textId="77777777" w:rsidR="006C5FB3" w:rsidRDefault="006C5FB3" w:rsidP="00F0199F">
      <w:pPr>
        <w:widowControl w:val="0"/>
        <w:jc w:val="both"/>
      </w:pPr>
      <w:bookmarkStart w:id="1" w:name="_Toc76457092"/>
    </w:p>
    <w:p w14:paraId="2B52BE7A" w14:textId="77777777" w:rsidR="00C377D3" w:rsidRPr="00604136" w:rsidRDefault="00604136" w:rsidP="00F0199F">
      <w:pPr>
        <w:pStyle w:val="Paragraphedeliste"/>
        <w:widowControl w:val="0"/>
        <w:numPr>
          <w:ilvl w:val="0"/>
          <w:numId w:val="36"/>
        </w:numPr>
        <w:spacing w:after="0" w:line="240" w:lineRule="auto"/>
        <w:ind w:left="284" w:hanging="284"/>
        <w:jc w:val="both"/>
        <w:rPr>
          <w:rFonts w:ascii="Times New Roman" w:hAnsi="Times New Roman"/>
          <w:b/>
          <w:sz w:val="24"/>
          <w:szCs w:val="24"/>
        </w:rPr>
      </w:pPr>
      <w:proofErr w:type="gramStart"/>
      <w:r w:rsidRPr="00604136">
        <w:rPr>
          <w:rFonts w:ascii="Times New Roman" w:hAnsi="Times New Roman"/>
          <w:b/>
          <w:sz w:val="24"/>
          <w:szCs w:val="24"/>
        </w:rPr>
        <w:t>hausse</w:t>
      </w:r>
      <w:proofErr w:type="gramEnd"/>
      <w:r w:rsidRPr="00604136">
        <w:rPr>
          <w:rFonts w:ascii="Times New Roman" w:hAnsi="Times New Roman"/>
          <w:b/>
          <w:sz w:val="24"/>
          <w:szCs w:val="24"/>
        </w:rPr>
        <w:t xml:space="preserve"> des charges de fonctionnement en 2020,</w:t>
      </w:r>
    </w:p>
    <w:p w14:paraId="2062113C" w14:textId="77777777" w:rsidR="00C377D3" w:rsidRDefault="00C377D3" w:rsidP="00F0199F">
      <w:pPr>
        <w:widowControl w:val="0"/>
        <w:jc w:val="both"/>
      </w:pPr>
    </w:p>
    <w:p w14:paraId="6D3BE623" w14:textId="77777777" w:rsidR="00604136" w:rsidRPr="00604136" w:rsidRDefault="00604136"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604136">
        <w:rPr>
          <w:rFonts w:ascii="Times New Roman" w:hAnsi="Times New Roman"/>
          <w:b/>
          <w:sz w:val="24"/>
          <w:szCs w:val="24"/>
        </w:rPr>
        <w:t>baisse</w:t>
      </w:r>
      <w:proofErr w:type="gramEnd"/>
      <w:r w:rsidRPr="00604136">
        <w:rPr>
          <w:rFonts w:ascii="Times New Roman" w:hAnsi="Times New Roman"/>
          <w:b/>
          <w:sz w:val="24"/>
          <w:szCs w:val="24"/>
        </w:rPr>
        <w:t xml:space="preserve"> des dépenses d’investissements et de remboursements des emprunts de 5,40%</w:t>
      </w:r>
      <w:r w:rsidRPr="006C5FB3">
        <w:rPr>
          <w:rFonts w:ascii="Times New Roman" w:hAnsi="Times New Roman"/>
          <w:sz w:val="24"/>
          <w:szCs w:val="24"/>
        </w:rPr>
        <w:t xml:space="preserve"> par rapport à 2019</w:t>
      </w:r>
      <w:r>
        <w:rPr>
          <w:rFonts w:ascii="Times New Roman" w:hAnsi="Times New Roman"/>
          <w:sz w:val="24"/>
          <w:szCs w:val="24"/>
        </w:rPr>
        <w:t>,</w:t>
      </w:r>
    </w:p>
    <w:p w14:paraId="2DF8C786" w14:textId="77777777" w:rsidR="00604136" w:rsidRDefault="00604136" w:rsidP="00F0199F">
      <w:pPr>
        <w:widowControl w:val="0"/>
        <w:jc w:val="both"/>
      </w:pPr>
    </w:p>
    <w:p w14:paraId="3C0B2E6E" w14:textId="77777777" w:rsidR="00DF08A1" w:rsidRPr="00A47923" w:rsidRDefault="00EC5738" w:rsidP="00F0199F">
      <w:pPr>
        <w:pStyle w:val="Paragraphedeliste"/>
        <w:widowControl w:val="0"/>
        <w:numPr>
          <w:ilvl w:val="0"/>
          <w:numId w:val="36"/>
        </w:numPr>
        <w:spacing w:after="0" w:line="240" w:lineRule="auto"/>
        <w:ind w:left="284" w:hanging="284"/>
        <w:jc w:val="both"/>
        <w:rPr>
          <w:rFonts w:ascii="Times New Roman" w:hAnsi="Times New Roman"/>
          <w:b/>
          <w:sz w:val="24"/>
          <w:szCs w:val="24"/>
        </w:rPr>
      </w:pPr>
      <w:proofErr w:type="gramStart"/>
      <w:r w:rsidRPr="00A47923">
        <w:rPr>
          <w:rFonts w:ascii="Times New Roman" w:hAnsi="Times New Roman"/>
          <w:b/>
          <w:sz w:val="24"/>
          <w:szCs w:val="24"/>
        </w:rPr>
        <w:t>ratio</w:t>
      </w:r>
      <w:proofErr w:type="gramEnd"/>
      <w:r w:rsidRPr="00A47923">
        <w:rPr>
          <w:rFonts w:ascii="Times New Roman" w:hAnsi="Times New Roman"/>
          <w:b/>
          <w:sz w:val="24"/>
          <w:szCs w:val="24"/>
        </w:rPr>
        <w:t xml:space="preserve"> de couverture des dépenses par les </w:t>
      </w:r>
      <w:r w:rsidR="00DF08A1" w:rsidRPr="00A47923">
        <w:rPr>
          <w:rFonts w:ascii="Times New Roman" w:hAnsi="Times New Roman"/>
          <w:b/>
          <w:sz w:val="24"/>
          <w:szCs w:val="24"/>
        </w:rPr>
        <w:t>recettes</w:t>
      </w:r>
      <w:r w:rsidR="00DF08A1" w:rsidRPr="00A47923">
        <w:rPr>
          <w:rFonts w:ascii="Times New Roman" w:hAnsi="Times New Roman"/>
          <w:sz w:val="24"/>
          <w:szCs w:val="24"/>
        </w:rPr>
        <w:t xml:space="preserve"> : </w:t>
      </w:r>
      <w:r w:rsidRPr="00A47923">
        <w:rPr>
          <w:rFonts w:ascii="Times New Roman" w:hAnsi="Times New Roman"/>
          <w:b/>
          <w:sz w:val="24"/>
          <w:szCs w:val="24"/>
        </w:rPr>
        <w:t xml:space="preserve">115,51% </w:t>
      </w:r>
      <w:r w:rsidR="00DF08A1" w:rsidRPr="00A47923">
        <w:rPr>
          <w:rFonts w:ascii="Times New Roman" w:hAnsi="Times New Roman"/>
          <w:b/>
          <w:sz w:val="24"/>
          <w:szCs w:val="24"/>
        </w:rPr>
        <w:t>en 2020</w:t>
      </w:r>
      <w:r w:rsidR="00DF08A1" w:rsidRPr="00A47923">
        <w:rPr>
          <w:rFonts w:ascii="Times New Roman" w:hAnsi="Times New Roman"/>
          <w:sz w:val="24"/>
          <w:szCs w:val="24"/>
        </w:rPr>
        <w:t xml:space="preserve">, contre </w:t>
      </w:r>
      <w:r w:rsidR="00DF08A1" w:rsidRPr="0025187E">
        <w:rPr>
          <w:rFonts w:ascii="Times New Roman" w:hAnsi="Times New Roman"/>
          <w:sz w:val="24"/>
          <w:szCs w:val="24"/>
        </w:rPr>
        <w:t>114,42% en 2019 et 120,09% en 2018</w:t>
      </w:r>
      <w:r w:rsidR="00DF08A1" w:rsidRPr="00A47923">
        <w:rPr>
          <w:rFonts w:ascii="Times New Roman" w:hAnsi="Times New Roman"/>
          <w:sz w:val="24"/>
          <w:szCs w:val="24"/>
        </w:rPr>
        <w:t>,</w:t>
      </w:r>
      <w:r w:rsidR="00A47923" w:rsidRPr="00A47923">
        <w:rPr>
          <w:rFonts w:ascii="Times New Roman" w:hAnsi="Times New Roman"/>
          <w:sz w:val="24"/>
          <w:szCs w:val="24"/>
        </w:rPr>
        <w:t xml:space="preserve"> soit une bonne prudence</w:t>
      </w:r>
      <w:r w:rsidR="00A47923">
        <w:rPr>
          <w:rFonts w:ascii="Times New Roman" w:hAnsi="Times New Roman"/>
          <w:sz w:val="24"/>
          <w:szCs w:val="24"/>
        </w:rPr>
        <w:t xml:space="preserve"> d’ensemble</w:t>
      </w:r>
      <w:r w:rsidR="00A47923" w:rsidRPr="00A47923">
        <w:rPr>
          <w:rFonts w:ascii="Times New Roman" w:hAnsi="Times New Roman"/>
          <w:sz w:val="24"/>
          <w:szCs w:val="24"/>
        </w:rPr>
        <w:t xml:space="preserve"> des responsables dans l’exécution des dépenses budgétaires</w:t>
      </w:r>
      <w:r w:rsidR="00A47923">
        <w:rPr>
          <w:rFonts w:ascii="Times New Roman" w:hAnsi="Times New Roman"/>
          <w:sz w:val="24"/>
          <w:szCs w:val="24"/>
        </w:rPr>
        <w:t>,</w:t>
      </w:r>
    </w:p>
    <w:p w14:paraId="14010822" w14:textId="77777777" w:rsidR="00EC5738" w:rsidRDefault="00EC5738" w:rsidP="00F0199F">
      <w:pPr>
        <w:widowControl w:val="0"/>
        <w:jc w:val="both"/>
      </w:pPr>
    </w:p>
    <w:bookmarkEnd w:id="1"/>
    <w:p w14:paraId="06A1AF7C" w14:textId="77777777" w:rsidR="00131AB4" w:rsidRPr="0094437B" w:rsidRDefault="00131AB4"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r w:rsidRPr="008E6218">
        <w:rPr>
          <w:rFonts w:ascii="Times New Roman" w:hAnsi="Times New Roman"/>
          <w:b/>
          <w:sz w:val="24"/>
          <w:szCs w:val="24"/>
        </w:rPr>
        <w:t xml:space="preserve">taux de couverture des dépenses par les </w:t>
      </w:r>
      <w:r w:rsidR="00F145AE">
        <w:rPr>
          <w:rFonts w:ascii="Times New Roman" w:hAnsi="Times New Roman"/>
          <w:b/>
          <w:sz w:val="24"/>
          <w:szCs w:val="24"/>
        </w:rPr>
        <w:t>recettes</w:t>
      </w:r>
      <w:r w:rsidRPr="008E6218">
        <w:rPr>
          <w:rFonts w:ascii="Times New Roman" w:hAnsi="Times New Roman"/>
          <w:b/>
          <w:sz w:val="24"/>
          <w:szCs w:val="24"/>
        </w:rPr>
        <w:t xml:space="preserve"> se situant en dessous de la normale </w:t>
      </w:r>
      <w:r w:rsidR="0094437B" w:rsidRPr="008E6218">
        <w:rPr>
          <w:rFonts w:ascii="Times New Roman" w:hAnsi="Times New Roman"/>
          <w:b/>
          <w:sz w:val="24"/>
          <w:szCs w:val="24"/>
        </w:rPr>
        <w:t>pour 14 EPE</w:t>
      </w:r>
      <w:r w:rsidR="0094437B" w:rsidRPr="0094437B">
        <w:rPr>
          <w:rFonts w:ascii="Times New Roman" w:hAnsi="Times New Roman"/>
          <w:sz w:val="24"/>
          <w:szCs w:val="24"/>
        </w:rPr>
        <w:t xml:space="preserve"> </w:t>
      </w:r>
      <w:r w:rsidRPr="0094437B">
        <w:rPr>
          <w:rFonts w:ascii="Times New Roman" w:hAnsi="Times New Roman"/>
          <w:sz w:val="24"/>
          <w:szCs w:val="24"/>
        </w:rPr>
        <w:t xml:space="preserve">contre </w:t>
      </w:r>
      <w:r w:rsidR="008A4E3A" w:rsidRPr="0094437B">
        <w:rPr>
          <w:rFonts w:ascii="Times New Roman" w:hAnsi="Times New Roman"/>
          <w:sz w:val="24"/>
          <w:szCs w:val="24"/>
        </w:rPr>
        <w:t xml:space="preserve">12 en 2019 et </w:t>
      </w:r>
      <w:r w:rsidRPr="0094437B">
        <w:rPr>
          <w:rFonts w:ascii="Times New Roman" w:hAnsi="Times New Roman"/>
          <w:sz w:val="24"/>
          <w:szCs w:val="24"/>
        </w:rPr>
        <w:t>13 en 2018</w:t>
      </w:r>
      <w:r w:rsidR="00D42EB2">
        <w:rPr>
          <w:rFonts w:ascii="Times New Roman" w:hAnsi="Times New Roman"/>
          <w:sz w:val="24"/>
          <w:szCs w:val="24"/>
        </w:rPr>
        <w:t>, à savoir</w:t>
      </w:r>
      <w:r w:rsidRPr="0094437B">
        <w:rPr>
          <w:rFonts w:ascii="Times New Roman" w:hAnsi="Times New Roman"/>
          <w:sz w:val="24"/>
          <w:szCs w:val="24"/>
        </w:rPr>
        <w:t xml:space="preserve"> : le </w:t>
      </w:r>
      <w:r w:rsidR="007F3DFF">
        <w:rPr>
          <w:rFonts w:ascii="Times New Roman" w:hAnsi="Times New Roman"/>
          <w:sz w:val="24"/>
          <w:szCs w:val="24"/>
        </w:rPr>
        <w:t>Centre hospitalier univer</w:t>
      </w:r>
      <w:r w:rsidR="008E6218">
        <w:rPr>
          <w:rFonts w:ascii="Times New Roman" w:hAnsi="Times New Roman"/>
          <w:sz w:val="24"/>
          <w:szCs w:val="24"/>
        </w:rPr>
        <w:t>sitaire (</w:t>
      </w:r>
      <w:r w:rsidRPr="0094437B">
        <w:rPr>
          <w:rFonts w:ascii="Times New Roman" w:hAnsi="Times New Roman"/>
          <w:sz w:val="24"/>
          <w:szCs w:val="24"/>
        </w:rPr>
        <w:t>CHU</w:t>
      </w:r>
      <w:r w:rsidR="008E6218">
        <w:rPr>
          <w:rFonts w:ascii="Times New Roman" w:hAnsi="Times New Roman"/>
          <w:sz w:val="24"/>
          <w:szCs w:val="24"/>
        </w:rPr>
        <w:t xml:space="preserve">) de </w:t>
      </w:r>
      <w:proofErr w:type="spellStart"/>
      <w:r w:rsidRPr="0094437B">
        <w:rPr>
          <w:rFonts w:ascii="Times New Roman" w:hAnsi="Times New Roman"/>
          <w:sz w:val="24"/>
          <w:szCs w:val="24"/>
        </w:rPr>
        <w:t>Tengandogo</w:t>
      </w:r>
      <w:proofErr w:type="spellEnd"/>
      <w:r w:rsidRPr="0094437B">
        <w:rPr>
          <w:rFonts w:ascii="Times New Roman" w:hAnsi="Times New Roman"/>
          <w:sz w:val="24"/>
          <w:szCs w:val="24"/>
        </w:rPr>
        <w:t xml:space="preserve"> (</w:t>
      </w:r>
      <w:r w:rsidR="008A4E3A" w:rsidRPr="0094437B">
        <w:rPr>
          <w:rFonts w:ascii="Times New Roman" w:hAnsi="Times New Roman"/>
          <w:sz w:val="24"/>
          <w:szCs w:val="24"/>
        </w:rPr>
        <w:t>8</w:t>
      </w:r>
      <w:r w:rsidRPr="0094437B">
        <w:rPr>
          <w:rFonts w:ascii="Times New Roman" w:hAnsi="Times New Roman"/>
          <w:sz w:val="24"/>
          <w:szCs w:val="24"/>
        </w:rPr>
        <w:t>9,</w:t>
      </w:r>
      <w:r w:rsidR="008A4E3A" w:rsidRPr="0094437B">
        <w:rPr>
          <w:rFonts w:ascii="Times New Roman" w:hAnsi="Times New Roman"/>
          <w:sz w:val="24"/>
          <w:szCs w:val="24"/>
        </w:rPr>
        <w:t>6</w:t>
      </w:r>
      <w:r w:rsidRPr="0094437B">
        <w:rPr>
          <w:rFonts w:ascii="Times New Roman" w:hAnsi="Times New Roman"/>
          <w:sz w:val="24"/>
          <w:szCs w:val="24"/>
        </w:rPr>
        <w:t xml:space="preserve">5%), le </w:t>
      </w:r>
      <w:r w:rsidR="008E6218">
        <w:rPr>
          <w:rFonts w:ascii="Times New Roman" w:hAnsi="Times New Roman"/>
          <w:sz w:val="24"/>
          <w:szCs w:val="24"/>
        </w:rPr>
        <w:t>Centre national de transfusion sanguine (</w:t>
      </w:r>
      <w:r w:rsidRPr="0094437B">
        <w:rPr>
          <w:rFonts w:ascii="Times New Roman" w:hAnsi="Times New Roman"/>
          <w:sz w:val="24"/>
          <w:szCs w:val="24"/>
        </w:rPr>
        <w:t>C</w:t>
      </w:r>
      <w:r w:rsidR="008A4E3A" w:rsidRPr="0094437B">
        <w:rPr>
          <w:rFonts w:ascii="Times New Roman" w:hAnsi="Times New Roman"/>
          <w:sz w:val="24"/>
          <w:szCs w:val="24"/>
        </w:rPr>
        <w:t>NTS</w:t>
      </w:r>
      <w:r w:rsidR="008E6218">
        <w:rPr>
          <w:rFonts w:ascii="Times New Roman" w:hAnsi="Times New Roman"/>
          <w:sz w:val="24"/>
          <w:szCs w:val="24"/>
        </w:rPr>
        <w:t>)</w:t>
      </w:r>
      <w:r w:rsidRPr="0094437B">
        <w:rPr>
          <w:rFonts w:ascii="Times New Roman" w:hAnsi="Times New Roman"/>
          <w:sz w:val="24"/>
          <w:szCs w:val="24"/>
        </w:rPr>
        <w:t xml:space="preserve"> (9</w:t>
      </w:r>
      <w:r w:rsidR="008A4E3A" w:rsidRPr="0094437B">
        <w:rPr>
          <w:rFonts w:ascii="Times New Roman" w:hAnsi="Times New Roman"/>
          <w:sz w:val="24"/>
          <w:szCs w:val="24"/>
        </w:rPr>
        <w:t>8</w:t>
      </w:r>
      <w:r w:rsidRPr="0094437B">
        <w:rPr>
          <w:rFonts w:ascii="Times New Roman" w:hAnsi="Times New Roman"/>
          <w:sz w:val="24"/>
          <w:szCs w:val="24"/>
        </w:rPr>
        <w:t>,</w:t>
      </w:r>
      <w:r w:rsidR="008A4E3A" w:rsidRPr="0094437B">
        <w:rPr>
          <w:rFonts w:ascii="Times New Roman" w:hAnsi="Times New Roman"/>
          <w:sz w:val="24"/>
          <w:szCs w:val="24"/>
        </w:rPr>
        <w:t>65</w:t>
      </w:r>
      <w:r w:rsidRPr="0094437B">
        <w:rPr>
          <w:rFonts w:ascii="Times New Roman" w:hAnsi="Times New Roman"/>
          <w:sz w:val="24"/>
          <w:szCs w:val="24"/>
        </w:rPr>
        <w:t xml:space="preserve">%), le Laboratoire national de santé publique </w:t>
      </w:r>
      <w:r w:rsidR="008E6218">
        <w:rPr>
          <w:rFonts w:ascii="Times New Roman" w:hAnsi="Times New Roman"/>
          <w:sz w:val="24"/>
          <w:szCs w:val="24"/>
        </w:rPr>
        <w:t xml:space="preserve">(LNSP) </w:t>
      </w:r>
      <w:r w:rsidRPr="0094437B">
        <w:rPr>
          <w:rFonts w:ascii="Times New Roman" w:hAnsi="Times New Roman"/>
          <w:sz w:val="24"/>
          <w:szCs w:val="24"/>
        </w:rPr>
        <w:t>(</w:t>
      </w:r>
      <w:r w:rsidR="008A4E3A" w:rsidRPr="0094437B">
        <w:rPr>
          <w:rFonts w:ascii="Times New Roman" w:hAnsi="Times New Roman"/>
          <w:sz w:val="24"/>
          <w:szCs w:val="24"/>
        </w:rPr>
        <w:t>89</w:t>
      </w:r>
      <w:r w:rsidRPr="0094437B">
        <w:rPr>
          <w:rFonts w:ascii="Times New Roman" w:hAnsi="Times New Roman"/>
          <w:sz w:val="24"/>
          <w:szCs w:val="24"/>
        </w:rPr>
        <w:t>,</w:t>
      </w:r>
      <w:r w:rsidR="008A4E3A" w:rsidRPr="0094437B">
        <w:rPr>
          <w:rFonts w:ascii="Times New Roman" w:hAnsi="Times New Roman"/>
          <w:sz w:val="24"/>
          <w:szCs w:val="24"/>
        </w:rPr>
        <w:t>03</w:t>
      </w:r>
      <w:r w:rsidRPr="0094437B">
        <w:rPr>
          <w:rFonts w:ascii="Times New Roman" w:hAnsi="Times New Roman"/>
          <w:sz w:val="24"/>
          <w:szCs w:val="24"/>
        </w:rPr>
        <w:t>%), l’</w:t>
      </w:r>
      <w:r w:rsidR="008E6218">
        <w:rPr>
          <w:rFonts w:ascii="Times New Roman" w:hAnsi="Times New Roman"/>
          <w:sz w:val="24"/>
          <w:szCs w:val="24"/>
        </w:rPr>
        <w:t>Autorité de mise en valeur de la vallée du Sourou (</w:t>
      </w:r>
      <w:r w:rsidRPr="0094437B">
        <w:rPr>
          <w:rFonts w:ascii="Times New Roman" w:hAnsi="Times New Roman"/>
          <w:sz w:val="24"/>
          <w:szCs w:val="24"/>
        </w:rPr>
        <w:t>AMVS</w:t>
      </w:r>
      <w:r w:rsidR="008E6218">
        <w:rPr>
          <w:rFonts w:ascii="Times New Roman" w:hAnsi="Times New Roman"/>
          <w:sz w:val="24"/>
          <w:szCs w:val="24"/>
        </w:rPr>
        <w:t>)</w:t>
      </w:r>
      <w:r w:rsidRPr="0094437B">
        <w:rPr>
          <w:rFonts w:ascii="Times New Roman" w:hAnsi="Times New Roman"/>
          <w:sz w:val="24"/>
          <w:szCs w:val="24"/>
        </w:rPr>
        <w:t xml:space="preserve"> (</w:t>
      </w:r>
      <w:r w:rsidR="008A4E3A" w:rsidRPr="0094437B">
        <w:rPr>
          <w:rFonts w:ascii="Times New Roman" w:hAnsi="Times New Roman"/>
          <w:sz w:val="24"/>
          <w:szCs w:val="24"/>
        </w:rPr>
        <w:t>76</w:t>
      </w:r>
      <w:r w:rsidRPr="0094437B">
        <w:rPr>
          <w:rFonts w:ascii="Times New Roman" w:hAnsi="Times New Roman"/>
          <w:sz w:val="24"/>
          <w:szCs w:val="24"/>
        </w:rPr>
        <w:t>,</w:t>
      </w:r>
      <w:r w:rsidR="008A4E3A" w:rsidRPr="0094437B">
        <w:rPr>
          <w:rFonts w:ascii="Times New Roman" w:hAnsi="Times New Roman"/>
          <w:sz w:val="24"/>
          <w:szCs w:val="24"/>
        </w:rPr>
        <w:t>41</w:t>
      </w:r>
      <w:r w:rsidRPr="0094437B">
        <w:rPr>
          <w:rFonts w:ascii="Times New Roman" w:hAnsi="Times New Roman"/>
          <w:sz w:val="24"/>
          <w:szCs w:val="24"/>
        </w:rPr>
        <w:t>%), l</w:t>
      </w:r>
      <w:r w:rsidR="008A4E3A" w:rsidRPr="0094437B">
        <w:rPr>
          <w:rFonts w:ascii="Times New Roman" w:hAnsi="Times New Roman"/>
          <w:sz w:val="24"/>
          <w:szCs w:val="24"/>
        </w:rPr>
        <w:t xml:space="preserve">e </w:t>
      </w:r>
      <w:r w:rsidR="00154EB7">
        <w:rPr>
          <w:rFonts w:ascii="Times New Roman" w:hAnsi="Times New Roman"/>
          <w:sz w:val="24"/>
          <w:szCs w:val="24"/>
        </w:rPr>
        <w:t>Centre d’évaluation et de formation professionnelle de Ouagadougou (</w:t>
      </w:r>
      <w:r w:rsidR="008A4E3A" w:rsidRPr="0094437B">
        <w:rPr>
          <w:rFonts w:ascii="Times New Roman" w:hAnsi="Times New Roman"/>
          <w:sz w:val="24"/>
          <w:szCs w:val="24"/>
        </w:rPr>
        <w:t>CEFPO</w:t>
      </w:r>
      <w:r w:rsidR="00154EB7">
        <w:rPr>
          <w:rFonts w:ascii="Times New Roman" w:hAnsi="Times New Roman"/>
          <w:sz w:val="24"/>
          <w:szCs w:val="24"/>
        </w:rPr>
        <w:t>)</w:t>
      </w:r>
      <w:r w:rsidR="008A4E3A" w:rsidRPr="0094437B">
        <w:rPr>
          <w:rFonts w:ascii="Times New Roman" w:hAnsi="Times New Roman"/>
          <w:sz w:val="24"/>
          <w:szCs w:val="24"/>
        </w:rPr>
        <w:t xml:space="preserve"> </w:t>
      </w:r>
      <w:r w:rsidRPr="0094437B">
        <w:rPr>
          <w:rFonts w:ascii="Times New Roman" w:hAnsi="Times New Roman"/>
          <w:sz w:val="24"/>
          <w:szCs w:val="24"/>
        </w:rPr>
        <w:t>(</w:t>
      </w:r>
      <w:r w:rsidR="008A4E3A" w:rsidRPr="0094437B">
        <w:rPr>
          <w:rFonts w:ascii="Times New Roman" w:hAnsi="Times New Roman"/>
          <w:sz w:val="24"/>
          <w:szCs w:val="24"/>
        </w:rPr>
        <w:t>8</w:t>
      </w:r>
      <w:r w:rsidRPr="0094437B">
        <w:rPr>
          <w:rFonts w:ascii="Times New Roman" w:hAnsi="Times New Roman"/>
          <w:sz w:val="24"/>
          <w:szCs w:val="24"/>
        </w:rPr>
        <w:t>9,</w:t>
      </w:r>
      <w:r w:rsidR="008A4E3A" w:rsidRPr="0094437B">
        <w:rPr>
          <w:rFonts w:ascii="Times New Roman" w:hAnsi="Times New Roman"/>
          <w:sz w:val="24"/>
          <w:szCs w:val="24"/>
        </w:rPr>
        <w:t>48</w:t>
      </w:r>
      <w:r w:rsidRPr="0094437B">
        <w:rPr>
          <w:rFonts w:ascii="Times New Roman" w:hAnsi="Times New Roman"/>
          <w:sz w:val="24"/>
          <w:szCs w:val="24"/>
        </w:rPr>
        <w:t>%), l</w:t>
      </w:r>
      <w:r w:rsidR="008A4E3A" w:rsidRPr="0094437B">
        <w:rPr>
          <w:rFonts w:ascii="Times New Roman" w:hAnsi="Times New Roman"/>
          <w:sz w:val="24"/>
          <w:szCs w:val="24"/>
        </w:rPr>
        <w:t>’</w:t>
      </w:r>
      <w:r w:rsidR="00A8600B">
        <w:rPr>
          <w:rFonts w:ascii="Times New Roman" w:hAnsi="Times New Roman"/>
          <w:sz w:val="24"/>
          <w:szCs w:val="24"/>
        </w:rPr>
        <w:t>Ecole nationale des enseignants du primai</w:t>
      </w:r>
      <w:r w:rsidR="00A34AEE">
        <w:rPr>
          <w:rFonts w:ascii="Times New Roman" w:hAnsi="Times New Roman"/>
          <w:sz w:val="24"/>
          <w:szCs w:val="24"/>
        </w:rPr>
        <w:t>re (</w:t>
      </w:r>
      <w:r w:rsidR="008A4E3A" w:rsidRPr="0094437B">
        <w:rPr>
          <w:rFonts w:ascii="Times New Roman" w:hAnsi="Times New Roman"/>
          <w:sz w:val="24"/>
          <w:szCs w:val="24"/>
        </w:rPr>
        <w:t>ENEP</w:t>
      </w:r>
      <w:r w:rsidR="00A34AEE">
        <w:rPr>
          <w:rFonts w:ascii="Times New Roman" w:hAnsi="Times New Roman"/>
          <w:sz w:val="24"/>
          <w:szCs w:val="24"/>
        </w:rPr>
        <w:t xml:space="preserve">) de </w:t>
      </w:r>
      <w:r w:rsidR="008A4E3A" w:rsidRPr="0094437B">
        <w:rPr>
          <w:rFonts w:ascii="Times New Roman" w:hAnsi="Times New Roman"/>
          <w:sz w:val="24"/>
          <w:szCs w:val="24"/>
        </w:rPr>
        <w:t>Bobo</w:t>
      </w:r>
      <w:r w:rsidR="00A34AEE">
        <w:rPr>
          <w:rFonts w:ascii="Times New Roman" w:hAnsi="Times New Roman"/>
          <w:sz w:val="24"/>
          <w:szCs w:val="24"/>
        </w:rPr>
        <w:t>-Dioulasso</w:t>
      </w:r>
      <w:r w:rsidR="008A4E3A" w:rsidRPr="0094437B">
        <w:rPr>
          <w:rFonts w:ascii="Times New Roman" w:hAnsi="Times New Roman"/>
          <w:sz w:val="24"/>
          <w:szCs w:val="24"/>
        </w:rPr>
        <w:t xml:space="preserve"> (96,79%), l’</w:t>
      </w:r>
      <w:r w:rsidR="00AC670A">
        <w:rPr>
          <w:rFonts w:ascii="Times New Roman" w:hAnsi="Times New Roman"/>
          <w:sz w:val="24"/>
          <w:szCs w:val="24"/>
        </w:rPr>
        <w:t>Université Nazi Boni (</w:t>
      </w:r>
      <w:r w:rsidR="008A4E3A" w:rsidRPr="0094437B">
        <w:rPr>
          <w:rFonts w:ascii="Times New Roman" w:hAnsi="Times New Roman"/>
          <w:sz w:val="24"/>
          <w:szCs w:val="24"/>
        </w:rPr>
        <w:t>UNB</w:t>
      </w:r>
      <w:r w:rsidR="00AC670A">
        <w:rPr>
          <w:rFonts w:ascii="Times New Roman" w:hAnsi="Times New Roman"/>
          <w:sz w:val="24"/>
          <w:szCs w:val="24"/>
        </w:rPr>
        <w:t>)</w:t>
      </w:r>
      <w:r w:rsidR="008A4E3A" w:rsidRPr="0094437B">
        <w:rPr>
          <w:rFonts w:ascii="Times New Roman" w:hAnsi="Times New Roman"/>
          <w:sz w:val="24"/>
          <w:szCs w:val="24"/>
        </w:rPr>
        <w:t xml:space="preserve"> (78,62%), l’</w:t>
      </w:r>
      <w:r w:rsidR="00AC670A">
        <w:rPr>
          <w:rFonts w:ascii="Times New Roman" w:hAnsi="Times New Roman"/>
          <w:sz w:val="24"/>
          <w:szCs w:val="24"/>
        </w:rPr>
        <w:t>Université Joseph Ki-Zerbo (</w:t>
      </w:r>
      <w:r w:rsidR="008A4E3A" w:rsidRPr="0094437B">
        <w:rPr>
          <w:rFonts w:ascii="Times New Roman" w:hAnsi="Times New Roman"/>
          <w:sz w:val="24"/>
          <w:szCs w:val="24"/>
        </w:rPr>
        <w:t>UJKZ</w:t>
      </w:r>
      <w:r w:rsidR="00AC670A">
        <w:rPr>
          <w:rFonts w:ascii="Times New Roman" w:hAnsi="Times New Roman"/>
          <w:sz w:val="24"/>
          <w:szCs w:val="24"/>
        </w:rPr>
        <w:t>)</w:t>
      </w:r>
      <w:r w:rsidR="008A4E3A" w:rsidRPr="0094437B">
        <w:rPr>
          <w:rFonts w:ascii="Times New Roman" w:hAnsi="Times New Roman"/>
          <w:sz w:val="24"/>
          <w:szCs w:val="24"/>
        </w:rPr>
        <w:t xml:space="preserve"> (94,14%), </w:t>
      </w:r>
      <w:r w:rsidR="00FE378A" w:rsidRPr="0094437B">
        <w:rPr>
          <w:rFonts w:ascii="Times New Roman" w:hAnsi="Times New Roman"/>
          <w:sz w:val="24"/>
          <w:szCs w:val="24"/>
        </w:rPr>
        <w:t>l’</w:t>
      </w:r>
      <w:r w:rsidR="00AC670A">
        <w:rPr>
          <w:rFonts w:ascii="Times New Roman" w:hAnsi="Times New Roman"/>
          <w:sz w:val="24"/>
          <w:szCs w:val="24"/>
        </w:rPr>
        <w:t>Agence pour la promotion des exportations du Burkina (</w:t>
      </w:r>
      <w:r w:rsidR="00FE378A" w:rsidRPr="0094437B">
        <w:rPr>
          <w:rFonts w:ascii="Times New Roman" w:hAnsi="Times New Roman"/>
          <w:sz w:val="24"/>
          <w:szCs w:val="24"/>
        </w:rPr>
        <w:t>APEX</w:t>
      </w:r>
      <w:r w:rsidR="00AC670A">
        <w:rPr>
          <w:rFonts w:ascii="Times New Roman" w:hAnsi="Times New Roman"/>
          <w:sz w:val="24"/>
          <w:szCs w:val="24"/>
        </w:rPr>
        <w:t xml:space="preserve">) du </w:t>
      </w:r>
      <w:r w:rsidR="00FE378A" w:rsidRPr="0094437B">
        <w:rPr>
          <w:rFonts w:ascii="Times New Roman" w:hAnsi="Times New Roman"/>
          <w:sz w:val="24"/>
          <w:szCs w:val="24"/>
        </w:rPr>
        <w:t>Burkina</w:t>
      </w:r>
      <w:r w:rsidRPr="0094437B">
        <w:rPr>
          <w:rFonts w:ascii="Times New Roman" w:hAnsi="Times New Roman"/>
          <w:sz w:val="24"/>
          <w:szCs w:val="24"/>
        </w:rPr>
        <w:t xml:space="preserve"> (</w:t>
      </w:r>
      <w:r w:rsidR="00FE378A" w:rsidRPr="0094437B">
        <w:rPr>
          <w:rFonts w:ascii="Times New Roman" w:hAnsi="Times New Roman"/>
          <w:sz w:val="24"/>
          <w:szCs w:val="24"/>
        </w:rPr>
        <w:t>96</w:t>
      </w:r>
      <w:r w:rsidRPr="0094437B">
        <w:rPr>
          <w:rFonts w:ascii="Times New Roman" w:hAnsi="Times New Roman"/>
          <w:sz w:val="24"/>
          <w:szCs w:val="24"/>
        </w:rPr>
        <w:t>,58%), l’</w:t>
      </w:r>
      <w:r w:rsidR="00AC670A">
        <w:rPr>
          <w:rFonts w:ascii="Times New Roman" w:hAnsi="Times New Roman"/>
          <w:sz w:val="24"/>
          <w:szCs w:val="24"/>
        </w:rPr>
        <w:t>Agence nationale de sécuri</w:t>
      </w:r>
      <w:r w:rsidR="00EB5AA1">
        <w:rPr>
          <w:rFonts w:ascii="Times New Roman" w:hAnsi="Times New Roman"/>
          <w:sz w:val="24"/>
          <w:szCs w:val="24"/>
        </w:rPr>
        <w:t>té</w:t>
      </w:r>
      <w:r w:rsidR="00AC670A">
        <w:rPr>
          <w:rFonts w:ascii="Times New Roman" w:hAnsi="Times New Roman"/>
          <w:sz w:val="24"/>
          <w:szCs w:val="24"/>
        </w:rPr>
        <w:t xml:space="preserve"> des systèmes d’information (</w:t>
      </w:r>
      <w:r w:rsidR="00FE378A" w:rsidRPr="0094437B">
        <w:rPr>
          <w:rFonts w:ascii="Times New Roman" w:hAnsi="Times New Roman"/>
          <w:sz w:val="24"/>
          <w:szCs w:val="24"/>
        </w:rPr>
        <w:t>ANSSI</w:t>
      </w:r>
      <w:r w:rsidR="00AC670A">
        <w:rPr>
          <w:rFonts w:ascii="Times New Roman" w:hAnsi="Times New Roman"/>
          <w:sz w:val="24"/>
          <w:szCs w:val="24"/>
        </w:rPr>
        <w:t>)</w:t>
      </w:r>
      <w:r w:rsidRPr="0094437B">
        <w:rPr>
          <w:rFonts w:ascii="Times New Roman" w:hAnsi="Times New Roman"/>
          <w:sz w:val="24"/>
          <w:szCs w:val="24"/>
        </w:rPr>
        <w:t xml:space="preserve"> (</w:t>
      </w:r>
      <w:r w:rsidR="00FE378A" w:rsidRPr="0094437B">
        <w:rPr>
          <w:rFonts w:ascii="Times New Roman" w:hAnsi="Times New Roman"/>
          <w:sz w:val="24"/>
          <w:szCs w:val="24"/>
        </w:rPr>
        <w:t>90</w:t>
      </w:r>
      <w:r w:rsidRPr="0094437B">
        <w:rPr>
          <w:rFonts w:ascii="Times New Roman" w:hAnsi="Times New Roman"/>
          <w:sz w:val="24"/>
          <w:szCs w:val="24"/>
        </w:rPr>
        <w:t>,</w:t>
      </w:r>
      <w:r w:rsidR="00FE378A" w:rsidRPr="0094437B">
        <w:rPr>
          <w:rFonts w:ascii="Times New Roman" w:hAnsi="Times New Roman"/>
          <w:sz w:val="24"/>
          <w:szCs w:val="24"/>
        </w:rPr>
        <w:t>32</w:t>
      </w:r>
      <w:r w:rsidRPr="0094437B">
        <w:rPr>
          <w:rFonts w:ascii="Times New Roman" w:hAnsi="Times New Roman"/>
          <w:sz w:val="24"/>
          <w:szCs w:val="24"/>
        </w:rPr>
        <w:t>%), l’</w:t>
      </w:r>
      <w:r w:rsidR="00E54CA2">
        <w:rPr>
          <w:rFonts w:ascii="Times New Roman" w:hAnsi="Times New Roman"/>
          <w:sz w:val="24"/>
          <w:szCs w:val="24"/>
        </w:rPr>
        <w:t>Institut géographique du Burkina (</w:t>
      </w:r>
      <w:r w:rsidR="00FE378A" w:rsidRPr="0094437B">
        <w:rPr>
          <w:rFonts w:ascii="Times New Roman" w:hAnsi="Times New Roman"/>
          <w:sz w:val="24"/>
          <w:szCs w:val="24"/>
        </w:rPr>
        <w:t>IGB</w:t>
      </w:r>
      <w:r w:rsidR="00E54CA2">
        <w:rPr>
          <w:rFonts w:ascii="Times New Roman" w:hAnsi="Times New Roman"/>
          <w:sz w:val="24"/>
          <w:szCs w:val="24"/>
        </w:rPr>
        <w:t>)</w:t>
      </w:r>
      <w:r w:rsidRPr="0094437B">
        <w:rPr>
          <w:rFonts w:ascii="Times New Roman" w:hAnsi="Times New Roman"/>
          <w:sz w:val="24"/>
          <w:szCs w:val="24"/>
        </w:rPr>
        <w:t xml:space="preserve"> (</w:t>
      </w:r>
      <w:r w:rsidR="00FE378A" w:rsidRPr="0094437B">
        <w:rPr>
          <w:rFonts w:ascii="Times New Roman" w:hAnsi="Times New Roman"/>
          <w:sz w:val="24"/>
          <w:szCs w:val="24"/>
        </w:rPr>
        <w:t>86</w:t>
      </w:r>
      <w:r w:rsidRPr="0094437B">
        <w:rPr>
          <w:rFonts w:ascii="Times New Roman" w:hAnsi="Times New Roman"/>
          <w:sz w:val="24"/>
          <w:szCs w:val="24"/>
        </w:rPr>
        <w:t>,</w:t>
      </w:r>
      <w:r w:rsidR="00FE378A" w:rsidRPr="0094437B">
        <w:rPr>
          <w:rFonts w:ascii="Times New Roman" w:hAnsi="Times New Roman"/>
          <w:sz w:val="24"/>
          <w:szCs w:val="24"/>
        </w:rPr>
        <w:t>00</w:t>
      </w:r>
      <w:r w:rsidRPr="0094437B">
        <w:rPr>
          <w:rFonts w:ascii="Times New Roman" w:hAnsi="Times New Roman"/>
          <w:sz w:val="24"/>
          <w:szCs w:val="24"/>
        </w:rPr>
        <w:t xml:space="preserve">%), le </w:t>
      </w:r>
      <w:r w:rsidR="00E54CA2">
        <w:rPr>
          <w:rFonts w:ascii="Times New Roman" w:hAnsi="Times New Roman"/>
          <w:sz w:val="24"/>
          <w:szCs w:val="24"/>
        </w:rPr>
        <w:t>Centre national des arts, du spectacle et de l’audiovisuel (</w:t>
      </w:r>
      <w:r w:rsidRPr="0094437B">
        <w:rPr>
          <w:rFonts w:ascii="Times New Roman" w:hAnsi="Times New Roman"/>
          <w:sz w:val="24"/>
          <w:szCs w:val="24"/>
        </w:rPr>
        <w:t>CENASA</w:t>
      </w:r>
      <w:r w:rsidR="00E54CA2">
        <w:rPr>
          <w:rFonts w:ascii="Times New Roman" w:hAnsi="Times New Roman"/>
          <w:sz w:val="24"/>
          <w:szCs w:val="24"/>
        </w:rPr>
        <w:t>)</w:t>
      </w:r>
      <w:r w:rsidRPr="0094437B">
        <w:rPr>
          <w:rFonts w:ascii="Times New Roman" w:hAnsi="Times New Roman"/>
          <w:sz w:val="24"/>
          <w:szCs w:val="24"/>
        </w:rPr>
        <w:t xml:space="preserve"> (9</w:t>
      </w:r>
      <w:r w:rsidR="00FE378A" w:rsidRPr="0094437B">
        <w:rPr>
          <w:rFonts w:ascii="Times New Roman" w:hAnsi="Times New Roman"/>
          <w:sz w:val="24"/>
          <w:szCs w:val="24"/>
        </w:rPr>
        <w:t>7</w:t>
      </w:r>
      <w:r w:rsidRPr="0094437B">
        <w:rPr>
          <w:rFonts w:ascii="Times New Roman" w:hAnsi="Times New Roman"/>
          <w:sz w:val="24"/>
          <w:szCs w:val="24"/>
        </w:rPr>
        <w:t>,</w:t>
      </w:r>
      <w:r w:rsidR="00FE378A" w:rsidRPr="0094437B">
        <w:rPr>
          <w:rFonts w:ascii="Times New Roman" w:hAnsi="Times New Roman"/>
          <w:sz w:val="24"/>
          <w:szCs w:val="24"/>
        </w:rPr>
        <w:t>02</w:t>
      </w:r>
      <w:r w:rsidRPr="0094437B">
        <w:rPr>
          <w:rFonts w:ascii="Times New Roman" w:hAnsi="Times New Roman"/>
          <w:sz w:val="24"/>
          <w:szCs w:val="24"/>
        </w:rPr>
        <w:t xml:space="preserve">%), le </w:t>
      </w:r>
      <w:r w:rsidR="00E54CA2">
        <w:rPr>
          <w:rFonts w:ascii="Times New Roman" w:hAnsi="Times New Roman"/>
          <w:sz w:val="24"/>
          <w:szCs w:val="24"/>
        </w:rPr>
        <w:t>Festival panafricain du cinéma et de la télévision de Ouagadougou (</w:t>
      </w:r>
      <w:r w:rsidRPr="0094437B">
        <w:rPr>
          <w:rFonts w:ascii="Times New Roman" w:hAnsi="Times New Roman"/>
          <w:sz w:val="24"/>
          <w:szCs w:val="24"/>
        </w:rPr>
        <w:t>FESPACO</w:t>
      </w:r>
      <w:r w:rsidR="00E54CA2">
        <w:rPr>
          <w:rFonts w:ascii="Times New Roman" w:hAnsi="Times New Roman"/>
          <w:sz w:val="24"/>
          <w:szCs w:val="24"/>
        </w:rPr>
        <w:t>)</w:t>
      </w:r>
      <w:r w:rsidRPr="0094437B">
        <w:rPr>
          <w:rFonts w:ascii="Times New Roman" w:hAnsi="Times New Roman"/>
          <w:sz w:val="24"/>
          <w:szCs w:val="24"/>
        </w:rPr>
        <w:t xml:space="preserve"> (9</w:t>
      </w:r>
      <w:r w:rsidR="00FE378A" w:rsidRPr="0094437B">
        <w:rPr>
          <w:rFonts w:ascii="Times New Roman" w:hAnsi="Times New Roman"/>
          <w:sz w:val="24"/>
          <w:szCs w:val="24"/>
        </w:rPr>
        <w:t>8</w:t>
      </w:r>
      <w:r w:rsidRPr="0094437B">
        <w:rPr>
          <w:rFonts w:ascii="Times New Roman" w:hAnsi="Times New Roman"/>
          <w:sz w:val="24"/>
          <w:szCs w:val="24"/>
        </w:rPr>
        <w:t>,</w:t>
      </w:r>
      <w:r w:rsidR="00FE378A" w:rsidRPr="0094437B">
        <w:rPr>
          <w:rFonts w:ascii="Times New Roman" w:hAnsi="Times New Roman"/>
          <w:sz w:val="24"/>
          <w:szCs w:val="24"/>
        </w:rPr>
        <w:t>72</w:t>
      </w:r>
      <w:r w:rsidRPr="0094437B">
        <w:rPr>
          <w:rFonts w:ascii="Times New Roman" w:hAnsi="Times New Roman"/>
          <w:sz w:val="24"/>
          <w:szCs w:val="24"/>
        </w:rPr>
        <w:t>%)</w:t>
      </w:r>
      <w:r w:rsidR="00FE378A" w:rsidRPr="0094437B">
        <w:rPr>
          <w:rFonts w:ascii="Times New Roman" w:hAnsi="Times New Roman"/>
          <w:sz w:val="24"/>
          <w:szCs w:val="24"/>
        </w:rPr>
        <w:t xml:space="preserve"> </w:t>
      </w:r>
      <w:r w:rsidRPr="0094437B">
        <w:rPr>
          <w:rFonts w:ascii="Times New Roman" w:hAnsi="Times New Roman"/>
          <w:sz w:val="24"/>
          <w:szCs w:val="24"/>
        </w:rPr>
        <w:t xml:space="preserve">et la Maison de la culture de Bobo </w:t>
      </w:r>
      <w:r w:rsidR="004F1A1B">
        <w:rPr>
          <w:rFonts w:ascii="Times New Roman" w:hAnsi="Times New Roman"/>
          <w:sz w:val="24"/>
          <w:szCs w:val="24"/>
        </w:rPr>
        <w:t xml:space="preserve">(MCB) </w:t>
      </w:r>
      <w:r w:rsidRPr="0094437B">
        <w:rPr>
          <w:rFonts w:ascii="Times New Roman" w:hAnsi="Times New Roman"/>
          <w:sz w:val="24"/>
          <w:szCs w:val="24"/>
        </w:rPr>
        <w:t>(9</w:t>
      </w:r>
      <w:r w:rsidR="00FE378A" w:rsidRPr="0094437B">
        <w:rPr>
          <w:rFonts w:ascii="Times New Roman" w:hAnsi="Times New Roman"/>
          <w:sz w:val="24"/>
          <w:szCs w:val="24"/>
        </w:rPr>
        <w:t>3</w:t>
      </w:r>
      <w:r w:rsidRPr="0094437B">
        <w:rPr>
          <w:rFonts w:ascii="Times New Roman" w:hAnsi="Times New Roman"/>
          <w:sz w:val="24"/>
          <w:szCs w:val="24"/>
        </w:rPr>
        <w:t>,</w:t>
      </w:r>
      <w:r w:rsidR="00FE378A" w:rsidRPr="0094437B">
        <w:rPr>
          <w:rFonts w:ascii="Times New Roman" w:hAnsi="Times New Roman"/>
          <w:sz w:val="24"/>
          <w:szCs w:val="24"/>
        </w:rPr>
        <w:t>2</w:t>
      </w:r>
      <w:r w:rsidRPr="0094437B">
        <w:rPr>
          <w:rFonts w:ascii="Times New Roman" w:hAnsi="Times New Roman"/>
          <w:sz w:val="24"/>
          <w:szCs w:val="24"/>
        </w:rPr>
        <w:t>7%)</w:t>
      </w:r>
      <w:r w:rsidR="00463097">
        <w:rPr>
          <w:rFonts w:ascii="Times New Roman" w:hAnsi="Times New Roman"/>
          <w:sz w:val="24"/>
          <w:szCs w:val="24"/>
        </w:rPr>
        <w:t>,</w:t>
      </w:r>
    </w:p>
    <w:p w14:paraId="03D5E531" w14:textId="77777777" w:rsidR="00BE1213" w:rsidRDefault="00BE1213" w:rsidP="00F0199F">
      <w:pPr>
        <w:widowControl w:val="0"/>
        <w:ind w:right="-1"/>
        <w:jc w:val="both"/>
      </w:pPr>
    </w:p>
    <w:p w14:paraId="3FC644AB" w14:textId="77777777" w:rsidR="00131AB4" w:rsidRPr="00463097" w:rsidRDefault="00131AB4"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r w:rsidRPr="0091585D">
        <w:rPr>
          <w:rFonts w:ascii="Times New Roman" w:hAnsi="Times New Roman"/>
          <w:b/>
          <w:sz w:val="24"/>
          <w:szCs w:val="24"/>
        </w:rPr>
        <w:t>ratio part des charges de personnel dans les dépenses de fonctionnement</w:t>
      </w:r>
      <w:r w:rsidR="0091585D" w:rsidRPr="0091585D">
        <w:rPr>
          <w:rFonts w:ascii="Times New Roman" w:hAnsi="Times New Roman"/>
          <w:b/>
          <w:sz w:val="24"/>
          <w:szCs w:val="24"/>
        </w:rPr>
        <w:t xml:space="preserve"> supérieur à 50% pour</w:t>
      </w:r>
      <w:r w:rsidRPr="0091585D">
        <w:rPr>
          <w:rFonts w:ascii="Times New Roman" w:hAnsi="Times New Roman"/>
          <w:b/>
          <w:sz w:val="24"/>
          <w:szCs w:val="24"/>
        </w:rPr>
        <w:t xml:space="preserve"> </w:t>
      </w:r>
      <w:r w:rsidR="00762F98" w:rsidRPr="0091585D">
        <w:rPr>
          <w:rFonts w:ascii="Times New Roman" w:hAnsi="Times New Roman"/>
          <w:b/>
          <w:sz w:val="24"/>
          <w:szCs w:val="24"/>
        </w:rPr>
        <w:t xml:space="preserve">43 </w:t>
      </w:r>
      <w:r w:rsidR="0091585D" w:rsidRPr="0091585D">
        <w:rPr>
          <w:rFonts w:ascii="Times New Roman" w:hAnsi="Times New Roman"/>
          <w:b/>
          <w:sz w:val="24"/>
          <w:szCs w:val="24"/>
        </w:rPr>
        <w:t>EPE</w:t>
      </w:r>
      <w:r w:rsidR="000D0ECB">
        <w:rPr>
          <w:rFonts w:ascii="Times New Roman" w:hAnsi="Times New Roman"/>
          <w:sz w:val="24"/>
          <w:szCs w:val="24"/>
        </w:rPr>
        <w:t>,</w:t>
      </w:r>
      <w:r w:rsidR="00762F98" w:rsidRPr="00463097">
        <w:rPr>
          <w:rFonts w:ascii="Times New Roman" w:hAnsi="Times New Roman"/>
          <w:sz w:val="24"/>
          <w:szCs w:val="24"/>
        </w:rPr>
        <w:t xml:space="preserve"> contre </w:t>
      </w:r>
      <w:r w:rsidRPr="00463097">
        <w:rPr>
          <w:rFonts w:ascii="Times New Roman" w:hAnsi="Times New Roman"/>
          <w:sz w:val="24"/>
          <w:szCs w:val="24"/>
        </w:rPr>
        <w:t xml:space="preserve">33 </w:t>
      </w:r>
      <w:r w:rsidR="0092237D" w:rsidRPr="00463097">
        <w:rPr>
          <w:rFonts w:ascii="Times New Roman" w:hAnsi="Times New Roman"/>
          <w:sz w:val="24"/>
          <w:szCs w:val="24"/>
        </w:rPr>
        <w:t xml:space="preserve">en 2019 </w:t>
      </w:r>
      <w:r w:rsidR="00FE378A" w:rsidRPr="00463097">
        <w:rPr>
          <w:rFonts w:ascii="Times New Roman" w:hAnsi="Times New Roman"/>
          <w:sz w:val="24"/>
          <w:szCs w:val="24"/>
        </w:rPr>
        <w:t>et</w:t>
      </w:r>
      <w:r w:rsidRPr="00463097">
        <w:rPr>
          <w:rFonts w:ascii="Times New Roman" w:hAnsi="Times New Roman"/>
          <w:sz w:val="24"/>
          <w:szCs w:val="24"/>
        </w:rPr>
        <w:t xml:space="preserve"> 28 en 2018</w:t>
      </w:r>
      <w:r w:rsidR="000D0ECB">
        <w:rPr>
          <w:rFonts w:ascii="Times New Roman" w:hAnsi="Times New Roman"/>
          <w:sz w:val="24"/>
          <w:szCs w:val="24"/>
        </w:rPr>
        <w:t xml:space="preserve">, </w:t>
      </w:r>
      <w:r w:rsidR="00874025">
        <w:rPr>
          <w:rFonts w:ascii="Times New Roman" w:hAnsi="Times New Roman"/>
          <w:sz w:val="24"/>
          <w:szCs w:val="24"/>
        </w:rPr>
        <w:t>à savoir</w:t>
      </w:r>
      <w:r w:rsidR="00730BB6">
        <w:rPr>
          <w:rFonts w:ascii="Times New Roman" w:hAnsi="Times New Roman"/>
          <w:sz w:val="24"/>
          <w:szCs w:val="24"/>
        </w:rPr>
        <w:t xml:space="preserve"> : </w:t>
      </w:r>
      <w:r w:rsidR="00730BB6" w:rsidRPr="00463097">
        <w:rPr>
          <w:rFonts w:ascii="Times New Roman" w:hAnsi="Times New Roman"/>
          <w:sz w:val="24"/>
          <w:szCs w:val="24"/>
        </w:rPr>
        <w:t xml:space="preserve">tous les établissements publics de santé à l’exception du </w:t>
      </w:r>
      <w:r w:rsidR="00040B7E">
        <w:rPr>
          <w:rFonts w:ascii="Times New Roman" w:hAnsi="Times New Roman"/>
          <w:sz w:val="24"/>
          <w:szCs w:val="24"/>
        </w:rPr>
        <w:t>Centre hospitalier régional (</w:t>
      </w:r>
      <w:r w:rsidR="00730BB6" w:rsidRPr="00463097">
        <w:rPr>
          <w:rFonts w:ascii="Times New Roman" w:hAnsi="Times New Roman"/>
          <w:sz w:val="24"/>
          <w:szCs w:val="24"/>
        </w:rPr>
        <w:t>CHR</w:t>
      </w:r>
      <w:r w:rsidR="00040B7E">
        <w:rPr>
          <w:rFonts w:ascii="Times New Roman" w:hAnsi="Times New Roman"/>
          <w:sz w:val="24"/>
          <w:szCs w:val="24"/>
        </w:rPr>
        <w:t xml:space="preserve">) de </w:t>
      </w:r>
      <w:r w:rsidR="00730BB6" w:rsidRPr="00463097">
        <w:rPr>
          <w:rFonts w:ascii="Times New Roman" w:hAnsi="Times New Roman"/>
          <w:sz w:val="24"/>
          <w:szCs w:val="24"/>
        </w:rPr>
        <w:t xml:space="preserve">Ziniaré, </w:t>
      </w:r>
      <w:r w:rsidR="000D0ECB" w:rsidRPr="00463097">
        <w:rPr>
          <w:rFonts w:ascii="Times New Roman" w:hAnsi="Times New Roman"/>
          <w:sz w:val="24"/>
          <w:szCs w:val="24"/>
        </w:rPr>
        <w:t>toutes les ENEP</w:t>
      </w:r>
      <w:r w:rsidR="000D0ECB">
        <w:rPr>
          <w:rFonts w:ascii="Times New Roman" w:hAnsi="Times New Roman"/>
          <w:sz w:val="24"/>
          <w:szCs w:val="24"/>
        </w:rPr>
        <w:t>,</w:t>
      </w:r>
      <w:r w:rsidR="000D0ECB" w:rsidRPr="00463097">
        <w:rPr>
          <w:rFonts w:ascii="Times New Roman" w:hAnsi="Times New Roman"/>
          <w:sz w:val="24"/>
          <w:szCs w:val="24"/>
        </w:rPr>
        <w:t xml:space="preserve"> </w:t>
      </w:r>
      <w:r w:rsidR="00730BB6" w:rsidRPr="00463097">
        <w:rPr>
          <w:rFonts w:ascii="Times New Roman" w:hAnsi="Times New Roman"/>
          <w:sz w:val="24"/>
          <w:szCs w:val="24"/>
        </w:rPr>
        <w:t>l’</w:t>
      </w:r>
      <w:r w:rsidR="000D0ECB">
        <w:rPr>
          <w:rFonts w:ascii="Times New Roman" w:hAnsi="Times New Roman"/>
          <w:sz w:val="24"/>
          <w:szCs w:val="24"/>
        </w:rPr>
        <w:t>Office national des aires protégées (</w:t>
      </w:r>
      <w:r w:rsidR="00730BB6" w:rsidRPr="00463097">
        <w:rPr>
          <w:rFonts w:ascii="Times New Roman" w:hAnsi="Times New Roman"/>
          <w:sz w:val="24"/>
          <w:szCs w:val="24"/>
        </w:rPr>
        <w:t>OFINAP</w:t>
      </w:r>
      <w:r w:rsidR="000D0ECB">
        <w:rPr>
          <w:rFonts w:ascii="Times New Roman" w:hAnsi="Times New Roman"/>
          <w:sz w:val="24"/>
          <w:szCs w:val="24"/>
        </w:rPr>
        <w:t>), le Centre national des semences forestières (</w:t>
      </w:r>
      <w:r w:rsidR="00730BB6" w:rsidRPr="00463097">
        <w:rPr>
          <w:rFonts w:ascii="Times New Roman" w:hAnsi="Times New Roman"/>
          <w:sz w:val="24"/>
          <w:szCs w:val="24"/>
        </w:rPr>
        <w:t>CNSF</w:t>
      </w:r>
      <w:r w:rsidR="000D0ECB">
        <w:rPr>
          <w:rFonts w:ascii="Times New Roman" w:hAnsi="Times New Roman"/>
          <w:sz w:val="24"/>
          <w:szCs w:val="24"/>
        </w:rPr>
        <w:t>)</w:t>
      </w:r>
      <w:r w:rsidR="00730BB6" w:rsidRPr="00463097">
        <w:rPr>
          <w:rFonts w:ascii="Times New Roman" w:hAnsi="Times New Roman"/>
          <w:sz w:val="24"/>
          <w:szCs w:val="24"/>
        </w:rPr>
        <w:t xml:space="preserve">, </w:t>
      </w:r>
      <w:r w:rsidR="000D0ECB">
        <w:rPr>
          <w:rFonts w:ascii="Times New Roman" w:hAnsi="Times New Roman"/>
          <w:sz w:val="24"/>
          <w:szCs w:val="24"/>
        </w:rPr>
        <w:t xml:space="preserve">le Centre de formation professionnel </w:t>
      </w:r>
      <w:r w:rsidR="00730BB6" w:rsidRPr="00463097">
        <w:rPr>
          <w:rFonts w:ascii="Times New Roman" w:hAnsi="Times New Roman"/>
          <w:sz w:val="24"/>
          <w:szCs w:val="24"/>
        </w:rPr>
        <w:t>de</w:t>
      </w:r>
      <w:r w:rsidR="000D0ECB">
        <w:rPr>
          <w:rFonts w:ascii="Times New Roman" w:hAnsi="Times New Roman"/>
          <w:sz w:val="24"/>
          <w:szCs w:val="24"/>
        </w:rPr>
        <w:t xml:space="preserve"> référence de Ziniaré (</w:t>
      </w:r>
      <w:r w:rsidR="00730BB6" w:rsidRPr="00463097">
        <w:rPr>
          <w:rFonts w:ascii="Times New Roman" w:hAnsi="Times New Roman"/>
          <w:sz w:val="24"/>
          <w:szCs w:val="24"/>
        </w:rPr>
        <w:t>CFPR-Z</w:t>
      </w:r>
      <w:r w:rsidR="000D0ECB">
        <w:rPr>
          <w:rFonts w:ascii="Times New Roman" w:hAnsi="Times New Roman"/>
          <w:sz w:val="24"/>
          <w:szCs w:val="24"/>
        </w:rPr>
        <w:t>)</w:t>
      </w:r>
      <w:r w:rsidR="00730BB6" w:rsidRPr="00463097">
        <w:rPr>
          <w:rFonts w:ascii="Times New Roman" w:hAnsi="Times New Roman"/>
          <w:sz w:val="24"/>
          <w:szCs w:val="24"/>
        </w:rPr>
        <w:t xml:space="preserve">, l’Université de Ouahigouya, l’Université Thomas </w:t>
      </w:r>
      <w:r w:rsidR="000D0ECB">
        <w:rPr>
          <w:rFonts w:ascii="Times New Roman" w:hAnsi="Times New Roman"/>
          <w:sz w:val="24"/>
          <w:szCs w:val="24"/>
        </w:rPr>
        <w:t>Sankara (UTS)</w:t>
      </w:r>
      <w:r w:rsidR="00730BB6" w:rsidRPr="00463097">
        <w:rPr>
          <w:rFonts w:ascii="Times New Roman" w:hAnsi="Times New Roman"/>
          <w:sz w:val="24"/>
          <w:szCs w:val="24"/>
        </w:rPr>
        <w:t>, de l’U</w:t>
      </w:r>
      <w:r w:rsidR="000D0ECB">
        <w:rPr>
          <w:rFonts w:ascii="Times New Roman" w:hAnsi="Times New Roman"/>
          <w:sz w:val="24"/>
          <w:szCs w:val="24"/>
        </w:rPr>
        <w:t xml:space="preserve">NB, </w:t>
      </w:r>
      <w:r w:rsidR="00730BB6" w:rsidRPr="00463097">
        <w:rPr>
          <w:rFonts w:ascii="Times New Roman" w:hAnsi="Times New Roman"/>
          <w:sz w:val="24"/>
          <w:szCs w:val="24"/>
        </w:rPr>
        <w:t>l’U</w:t>
      </w:r>
      <w:r w:rsidR="000D0ECB">
        <w:rPr>
          <w:rFonts w:ascii="Times New Roman" w:hAnsi="Times New Roman"/>
          <w:sz w:val="24"/>
          <w:szCs w:val="24"/>
        </w:rPr>
        <w:t>JKZ</w:t>
      </w:r>
      <w:r w:rsidR="00730BB6" w:rsidRPr="00463097">
        <w:rPr>
          <w:rFonts w:ascii="Times New Roman" w:hAnsi="Times New Roman"/>
          <w:sz w:val="24"/>
          <w:szCs w:val="24"/>
        </w:rPr>
        <w:t>, l’</w:t>
      </w:r>
      <w:r w:rsidR="000D0ECB">
        <w:rPr>
          <w:rFonts w:ascii="Times New Roman" w:hAnsi="Times New Roman"/>
          <w:sz w:val="24"/>
          <w:szCs w:val="24"/>
        </w:rPr>
        <w:t>Agence burkinabè d</w:t>
      </w:r>
      <w:r w:rsidR="00E445C2">
        <w:rPr>
          <w:rFonts w:ascii="Times New Roman" w:hAnsi="Times New Roman"/>
          <w:sz w:val="24"/>
          <w:szCs w:val="24"/>
        </w:rPr>
        <w:t xml:space="preserve">es </w:t>
      </w:r>
      <w:r w:rsidR="000D0ECB">
        <w:rPr>
          <w:rFonts w:ascii="Times New Roman" w:hAnsi="Times New Roman"/>
          <w:sz w:val="24"/>
          <w:szCs w:val="24"/>
        </w:rPr>
        <w:t>investissement</w:t>
      </w:r>
      <w:r w:rsidR="00E445C2">
        <w:rPr>
          <w:rFonts w:ascii="Times New Roman" w:hAnsi="Times New Roman"/>
          <w:sz w:val="24"/>
          <w:szCs w:val="24"/>
        </w:rPr>
        <w:t>s</w:t>
      </w:r>
      <w:r w:rsidR="000D0ECB">
        <w:rPr>
          <w:rFonts w:ascii="Times New Roman" w:hAnsi="Times New Roman"/>
          <w:sz w:val="24"/>
          <w:szCs w:val="24"/>
        </w:rPr>
        <w:t xml:space="preserve"> (</w:t>
      </w:r>
      <w:r w:rsidR="00730BB6" w:rsidRPr="00463097">
        <w:rPr>
          <w:rFonts w:ascii="Times New Roman" w:hAnsi="Times New Roman"/>
          <w:sz w:val="24"/>
          <w:szCs w:val="24"/>
        </w:rPr>
        <w:t>ABI</w:t>
      </w:r>
      <w:r w:rsidR="000D0ECB">
        <w:rPr>
          <w:rFonts w:ascii="Times New Roman" w:hAnsi="Times New Roman"/>
          <w:sz w:val="24"/>
          <w:szCs w:val="24"/>
        </w:rPr>
        <w:t>)</w:t>
      </w:r>
      <w:r w:rsidR="00730BB6" w:rsidRPr="00463097">
        <w:rPr>
          <w:rFonts w:ascii="Times New Roman" w:hAnsi="Times New Roman"/>
          <w:sz w:val="24"/>
          <w:szCs w:val="24"/>
        </w:rPr>
        <w:t>, l’</w:t>
      </w:r>
      <w:r w:rsidR="000D0ECB">
        <w:rPr>
          <w:rFonts w:ascii="Times New Roman" w:hAnsi="Times New Roman"/>
          <w:sz w:val="24"/>
          <w:szCs w:val="24"/>
        </w:rPr>
        <w:t>Agence nationale pour l’emploi (</w:t>
      </w:r>
      <w:r w:rsidR="00730BB6" w:rsidRPr="00463097">
        <w:rPr>
          <w:rFonts w:ascii="Times New Roman" w:hAnsi="Times New Roman"/>
          <w:sz w:val="24"/>
          <w:szCs w:val="24"/>
        </w:rPr>
        <w:t>ANPE</w:t>
      </w:r>
      <w:r w:rsidR="000D0ECB">
        <w:rPr>
          <w:rFonts w:ascii="Times New Roman" w:hAnsi="Times New Roman"/>
          <w:sz w:val="24"/>
          <w:szCs w:val="24"/>
        </w:rPr>
        <w:t>)</w:t>
      </w:r>
      <w:r w:rsidR="00730BB6" w:rsidRPr="00463097">
        <w:rPr>
          <w:rFonts w:ascii="Times New Roman" w:hAnsi="Times New Roman"/>
          <w:sz w:val="24"/>
          <w:szCs w:val="24"/>
        </w:rPr>
        <w:t>, l’APEX-Burkina, l’ANSSI, l’IGB</w:t>
      </w:r>
      <w:r w:rsidR="000D0ECB">
        <w:rPr>
          <w:rFonts w:ascii="Times New Roman" w:hAnsi="Times New Roman"/>
          <w:sz w:val="24"/>
          <w:szCs w:val="24"/>
        </w:rPr>
        <w:t>,</w:t>
      </w:r>
      <w:r w:rsidR="00730BB6" w:rsidRPr="00463097">
        <w:rPr>
          <w:rFonts w:ascii="Times New Roman" w:hAnsi="Times New Roman"/>
          <w:sz w:val="24"/>
          <w:szCs w:val="24"/>
        </w:rPr>
        <w:t xml:space="preserve"> l’</w:t>
      </w:r>
      <w:r w:rsidR="000D0ECB">
        <w:rPr>
          <w:rFonts w:ascii="Times New Roman" w:hAnsi="Times New Roman"/>
          <w:sz w:val="24"/>
          <w:szCs w:val="24"/>
        </w:rPr>
        <w:t>Office de gestion des infrastructures sportives (</w:t>
      </w:r>
      <w:r w:rsidR="00730BB6" w:rsidRPr="00463097">
        <w:rPr>
          <w:rFonts w:ascii="Times New Roman" w:hAnsi="Times New Roman"/>
          <w:sz w:val="24"/>
          <w:szCs w:val="24"/>
        </w:rPr>
        <w:t>OGIS</w:t>
      </w:r>
      <w:r w:rsidR="000D0ECB">
        <w:rPr>
          <w:rFonts w:ascii="Times New Roman" w:hAnsi="Times New Roman"/>
          <w:sz w:val="24"/>
          <w:szCs w:val="24"/>
        </w:rPr>
        <w:t>)</w:t>
      </w:r>
      <w:r w:rsidR="00D81C55">
        <w:rPr>
          <w:rFonts w:ascii="Times New Roman" w:hAnsi="Times New Roman"/>
          <w:sz w:val="24"/>
          <w:szCs w:val="24"/>
        </w:rPr>
        <w:t>, le</w:t>
      </w:r>
      <w:r w:rsidR="00730BB6" w:rsidRPr="00463097">
        <w:rPr>
          <w:rFonts w:ascii="Times New Roman" w:hAnsi="Times New Roman"/>
          <w:sz w:val="24"/>
          <w:szCs w:val="24"/>
        </w:rPr>
        <w:t xml:space="preserve"> CENASA et la </w:t>
      </w:r>
      <w:r w:rsidR="00D81C55">
        <w:rPr>
          <w:rFonts w:ascii="Times New Roman" w:hAnsi="Times New Roman"/>
          <w:sz w:val="24"/>
          <w:szCs w:val="24"/>
        </w:rPr>
        <w:t>Radiodiffusion et télévision du Burkina (</w:t>
      </w:r>
      <w:r w:rsidR="00730BB6" w:rsidRPr="00463097">
        <w:rPr>
          <w:rFonts w:ascii="Times New Roman" w:hAnsi="Times New Roman"/>
          <w:sz w:val="24"/>
          <w:szCs w:val="24"/>
        </w:rPr>
        <w:t>RTB</w:t>
      </w:r>
      <w:r w:rsidR="00D81C55">
        <w:rPr>
          <w:rFonts w:ascii="Times New Roman" w:hAnsi="Times New Roman"/>
          <w:sz w:val="24"/>
          <w:szCs w:val="24"/>
        </w:rPr>
        <w:t xml:space="preserve">), </w:t>
      </w:r>
      <w:r w:rsidR="00730BB6">
        <w:rPr>
          <w:rFonts w:ascii="Times New Roman" w:hAnsi="Times New Roman"/>
          <w:sz w:val="24"/>
          <w:szCs w:val="24"/>
        </w:rPr>
        <w:t xml:space="preserve">d’où </w:t>
      </w:r>
      <w:r w:rsidR="00D81C55">
        <w:rPr>
          <w:rFonts w:ascii="Times New Roman" w:hAnsi="Times New Roman"/>
          <w:sz w:val="24"/>
          <w:szCs w:val="24"/>
        </w:rPr>
        <w:t xml:space="preserve">la nécessité de les </w:t>
      </w:r>
      <w:r w:rsidRPr="00463097">
        <w:rPr>
          <w:rFonts w:ascii="Times New Roman" w:hAnsi="Times New Roman"/>
          <w:sz w:val="24"/>
          <w:szCs w:val="24"/>
        </w:rPr>
        <w:t>inviter à une meilleure maîtrise desdites charges</w:t>
      </w:r>
      <w:r w:rsidR="00D81C55">
        <w:rPr>
          <w:rFonts w:ascii="Times New Roman" w:hAnsi="Times New Roman"/>
          <w:sz w:val="24"/>
          <w:szCs w:val="24"/>
        </w:rPr>
        <w:t>,</w:t>
      </w:r>
    </w:p>
    <w:p w14:paraId="344532FB" w14:textId="77777777" w:rsidR="00235509" w:rsidRDefault="00235509" w:rsidP="00F0199F">
      <w:pPr>
        <w:widowControl w:val="0"/>
        <w:ind w:right="-1"/>
        <w:jc w:val="both"/>
      </w:pPr>
    </w:p>
    <w:p w14:paraId="5DC19F5F" w14:textId="77777777" w:rsidR="00FF0094" w:rsidRPr="00FF0094" w:rsidRDefault="00B0062D" w:rsidP="00FF0094">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6B5649">
        <w:rPr>
          <w:rFonts w:ascii="Times New Roman" w:hAnsi="Times New Roman"/>
          <w:b/>
          <w:sz w:val="24"/>
          <w:szCs w:val="24"/>
        </w:rPr>
        <w:t>masse</w:t>
      </w:r>
      <w:proofErr w:type="gramEnd"/>
      <w:r w:rsidRPr="006B5649">
        <w:rPr>
          <w:rFonts w:ascii="Times New Roman" w:hAnsi="Times New Roman"/>
          <w:b/>
          <w:sz w:val="24"/>
          <w:szCs w:val="24"/>
        </w:rPr>
        <w:t xml:space="preserve"> salariale</w:t>
      </w:r>
      <w:r>
        <w:rPr>
          <w:rFonts w:ascii="Times New Roman" w:hAnsi="Times New Roman"/>
          <w:sz w:val="24"/>
          <w:szCs w:val="24"/>
        </w:rPr>
        <w:t xml:space="preserve"> : </w:t>
      </w:r>
      <w:r w:rsidR="006B5649" w:rsidRPr="006B5649">
        <w:rPr>
          <w:rFonts w:ascii="Times New Roman" w:hAnsi="Times New Roman"/>
          <w:b/>
          <w:sz w:val="24"/>
          <w:szCs w:val="24"/>
        </w:rPr>
        <w:t>91,144 milliards de FCFA</w:t>
      </w:r>
      <w:r w:rsidR="006B5649" w:rsidRPr="00FF0094">
        <w:rPr>
          <w:rFonts w:ascii="Times New Roman" w:hAnsi="Times New Roman"/>
          <w:sz w:val="24"/>
          <w:szCs w:val="24"/>
        </w:rPr>
        <w:t xml:space="preserve"> contre </w:t>
      </w:r>
      <w:r w:rsidR="006B5649" w:rsidRPr="0025187E">
        <w:rPr>
          <w:rFonts w:ascii="Times New Roman" w:hAnsi="Times New Roman"/>
          <w:sz w:val="24"/>
          <w:szCs w:val="24"/>
        </w:rPr>
        <w:t>65,243 milliards de FCFA en 2019</w:t>
      </w:r>
      <w:r w:rsidR="006B5649">
        <w:rPr>
          <w:rFonts w:ascii="Times New Roman" w:hAnsi="Times New Roman"/>
          <w:sz w:val="24"/>
          <w:szCs w:val="24"/>
        </w:rPr>
        <w:t xml:space="preserve"> et </w:t>
      </w:r>
      <w:r w:rsidR="006B5649" w:rsidRPr="00FF0094">
        <w:rPr>
          <w:rFonts w:ascii="Times New Roman" w:hAnsi="Times New Roman"/>
          <w:sz w:val="24"/>
          <w:szCs w:val="24"/>
        </w:rPr>
        <w:t>56,608 milliards de FCFA</w:t>
      </w:r>
      <w:r w:rsidR="006B5649">
        <w:rPr>
          <w:rFonts w:ascii="Times New Roman" w:hAnsi="Times New Roman"/>
          <w:sz w:val="24"/>
          <w:szCs w:val="24"/>
        </w:rPr>
        <w:t xml:space="preserve"> en 2018</w:t>
      </w:r>
      <w:r w:rsidR="006B5649" w:rsidRPr="00FF0094">
        <w:rPr>
          <w:rFonts w:ascii="Times New Roman" w:hAnsi="Times New Roman"/>
          <w:sz w:val="24"/>
          <w:szCs w:val="24"/>
        </w:rPr>
        <w:t xml:space="preserve">, soit </w:t>
      </w:r>
      <w:r w:rsidR="006B5649" w:rsidRPr="00833CAF">
        <w:rPr>
          <w:rFonts w:ascii="Times New Roman" w:hAnsi="Times New Roman"/>
          <w:b/>
          <w:sz w:val="24"/>
          <w:szCs w:val="24"/>
        </w:rPr>
        <w:t xml:space="preserve">une </w:t>
      </w:r>
      <w:r w:rsidR="006B5649" w:rsidRPr="0025187E">
        <w:rPr>
          <w:rFonts w:ascii="Times New Roman" w:hAnsi="Times New Roman"/>
          <w:b/>
          <w:sz w:val="24"/>
          <w:szCs w:val="24"/>
        </w:rPr>
        <w:t>hausse de 39,70%</w:t>
      </w:r>
      <w:r w:rsidR="0025187E" w:rsidRPr="0025187E">
        <w:rPr>
          <w:rFonts w:ascii="Times New Roman" w:hAnsi="Times New Roman"/>
          <w:b/>
          <w:sz w:val="24"/>
          <w:szCs w:val="24"/>
        </w:rPr>
        <w:t xml:space="preserve"> entre 2019 et 2020</w:t>
      </w:r>
      <w:r w:rsidR="0025187E">
        <w:rPr>
          <w:rFonts w:ascii="Times New Roman" w:hAnsi="Times New Roman"/>
          <w:sz w:val="24"/>
          <w:szCs w:val="24"/>
        </w:rPr>
        <w:t xml:space="preserve">, pour des effectifs globaux de personnel </w:t>
      </w:r>
      <w:r w:rsidR="0025187E" w:rsidRPr="00FF0094">
        <w:rPr>
          <w:rFonts w:ascii="Times New Roman" w:hAnsi="Times New Roman"/>
          <w:sz w:val="24"/>
          <w:szCs w:val="24"/>
        </w:rPr>
        <w:t xml:space="preserve">de 19 722 agents toute catégorie confondue </w:t>
      </w:r>
      <w:r w:rsidR="00FF0094" w:rsidRPr="00FF0094">
        <w:rPr>
          <w:rFonts w:ascii="Times New Roman" w:hAnsi="Times New Roman"/>
          <w:sz w:val="24"/>
          <w:szCs w:val="24"/>
        </w:rPr>
        <w:t>en 2020 contre 19 111 en 2019</w:t>
      </w:r>
      <w:r w:rsidR="0025187E">
        <w:rPr>
          <w:rFonts w:ascii="Times New Roman" w:hAnsi="Times New Roman"/>
          <w:sz w:val="24"/>
          <w:szCs w:val="24"/>
        </w:rPr>
        <w:t xml:space="preserve"> et </w:t>
      </w:r>
      <w:r w:rsidR="0025187E" w:rsidRPr="00FF0094">
        <w:rPr>
          <w:rFonts w:ascii="Times New Roman" w:hAnsi="Times New Roman"/>
          <w:sz w:val="24"/>
          <w:szCs w:val="24"/>
        </w:rPr>
        <w:t>17 836 en 2018</w:t>
      </w:r>
      <w:r w:rsidR="00FF0094" w:rsidRPr="00FF0094">
        <w:rPr>
          <w:rFonts w:ascii="Times New Roman" w:hAnsi="Times New Roman"/>
          <w:sz w:val="24"/>
          <w:szCs w:val="24"/>
        </w:rPr>
        <w:t>, soit une variation positive de 3,20%</w:t>
      </w:r>
      <w:r w:rsidR="0025187E">
        <w:rPr>
          <w:rFonts w:ascii="Times New Roman" w:hAnsi="Times New Roman"/>
          <w:sz w:val="24"/>
          <w:szCs w:val="24"/>
        </w:rPr>
        <w:t xml:space="preserve"> entre 2019 et 2020,</w:t>
      </w:r>
    </w:p>
    <w:p w14:paraId="680BF7B2" w14:textId="77777777" w:rsidR="00FF0094" w:rsidRPr="00F40034" w:rsidRDefault="00FF0094" w:rsidP="00F0199F">
      <w:pPr>
        <w:widowControl w:val="0"/>
        <w:ind w:right="-1"/>
        <w:jc w:val="both"/>
      </w:pPr>
    </w:p>
    <w:p w14:paraId="2E2A4EFE" w14:textId="77777777" w:rsidR="00131AB4" w:rsidRPr="001D4E46" w:rsidRDefault="001D4E46"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1D4E46">
        <w:rPr>
          <w:rFonts w:ascii="Times New Roman" w:hAnsi="Times New Roman"/>
          <w:b/>
          <w:sz w:val="24"/>
          <w:szCs w:val="24"/>
        </w:rPr>
        <w:t>taux</w:t>
      </w:r>
      <w:proofErr w:type="gramEnd"/>
      <w:r w:rsidR="00131AB4" w:rsidRPr="001D4E46">
        <w:rPr>
          <w:rFonts w:ascii="Times New Roman" w:hAnsi="Times New Roman"/>
          <w:b/>
          <w:sz w:val="24"/>
          <w:szCs w:val="24"/>
        </w:rPr>
        <w:t xml:space="preserve"> de réalisation des prévisions des recettes </w:t>
      </w:r>
      <w:r w:rsidRPr="001D4E46">
        <w:rPr>
          <w:rFonts w:ascii="Times New Roman" w:hAnsi="Times New Roman"/>
          <w:b/>
          <w:sz w:val="24"/>
          <w:szCs w:val="24"/>
        </w:rPr>
        <w:t>supérieurs à 80% pour 64 EPE</w:t>
      </w:r>
      <w:r>
        <w:rPr>
          <w:rFonts w:ascii="Times New Roman" w:hAnsi="Times New Roman"/>
          <w:sz w:val="24"/>
          <w:szCs w:val="24"/>
        </w:rPr>
        <w:t xml:space="preserve">, comme en 2019 </w:t>
      </w:r>
      <w:r>
        <w:rPr>
          <w:rFonts w:ascii="Times New Roman" w:hAnsi="Times New Roman"/>
          <w:sz w:val="24"/>
          <w:szCs w:val="24"/>
        </w:rPr>
        <w:lastRenderedPageBreak/>
        <w:t>contre 52 EPE en 2018, soit des taux relativement</w:t>
      </w:r>
      <w:r w:rsidR="00131AB4" w:rsidRPr="001D4E46">
        <w:rPr>
          <w:rFonts w:ascii="Times New Roman" w:hAnsi="Times New Roman"/>
          <w:sz w:val="24"/>
          <w:szCs w:val="24"/>
        </w:rPr>
        <w:t xml:space="preserve"> satisfaisants </w:t>
      </w:r>
      <w:r>
        <w:rPr>
          <w:rFonts w:ascii="Times New Roman" w:hAnsi="Times New Roman"/>
          <w:sz w:val="24"/>
          <w:szCs w:val="24"/>
        </w:rPr>
        <w:t>en général,</w:t>
      </w:r>
    </w:p>
    <w:p w14:paraId="28252C42" w14:textId="77777777" w:rsidR="00235509" w:rsidRPr="00F40034" w:rsidRDefault="00235509" w:rsidP="00F0199F">
      <w:pPr>
        <w:widowControl w:val="0"/>
        <w:ind w:right="-1"/>
        <w:jc w:val="both"/>
      </w:pPr>
    </w:p>
    <w:p w14:paraId="351FAC7B" w14:textId="77777777" w:rsidR="001D4E46" w:rsidRPr="001D4E46" w:rsidRDefault="001D4E46"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1D4E46">
        <w:rPr>
          <w:rFonts w:ascii="Times New Roman" w:hAnsi="Times New Roman"/>
          <w:b/>
          <w:sz w:val="24"/>
          <w:szCs w:val="24"/>
        </w:rPr>
        <w:t>niveaux</w:t>
      </w:r>
      <w:proofErr w:type="gramEnd"/>
      <w:r w:rsidRPr="001D4E46">
        <w:rPr>
          <w:rFonts w:ascii="Times New Roman" w:hAnsi="Times New Roman"/>
          <w:b/>
          <w:sz w:val="24"/>
          <w:szCs w:val="24"/>
        </w:rPr>
        <w:t xml:space="preserve"> de réalisation des dépenses contenus dans les limites des prévisions de crédits pour l’ensemble des EPE, mais inférieurs à 80% pour 53 EPE</w:t>
      </w:r>
      <w:r w:rsidRPr="001D4E46">
        <w:rPr>
          <w:rFonts w:ascii="Times New Roman" w:hAnsi="Times New Roman"/>
          <w:sz w:val="24"/>
          <w:szCs w:val="24"/>
        </w:rPr>
        <w:t xml:space="preserve"> contre 52 en 2019 et 27 en 2018,</w:t>
      </w:r>
    </w:p>
    <w:p w14:paraId="1B28AF9F" w14:textId="77777777" w:rsidR="001D4E46" w:rsidRPr="00F40034" w:rsidRDefault="001D4E46" w:rsidP="00F0199F">
      <w:pPr>
        <w:widowControl w:val="0"/>
        <w:ind w:right="-1"/>
        <w:jc w:val="both"/>
      </w:pPr>
    </w:p>
    <w:p w14:paraId="02E61E70" w14:textId="77777777" w:rsidR="001D18DB" w:rsidRPr="0075134B" w:rsidRDefault="00131AB4"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1D1DC1">
        <w:rPr>
          <w:rFonts w:ascii="Times New Roman" w:hAnsi="Times New Roman"/>
          <w:b/>
          <w:sz w:val="24"/>
          <w:szCs w:val="24"/>
        </w:rPr>
        <w:t>taux</w:t>
      </w:r>
      <w:proofErr w:type="gramEnd"/>
      <w:r w:rsidRPr="001D1DC1">
        <w:rPr>
          <w:rFonts w:ascii="Times New Roman" w:hAnsi="Times New Roman"/>
          <w:b/>
          <w:sz w:val="24"/>
          <w:szCs w:val="24"/>
        </w:rPr>
        <w:t xml:space="preserve"> d’autofinancement</w:t>
      </w:r>
      <w:r w:rsidR="0075134B">
        <w:rPr>
          <w:rFonts w:ascii="Times New Roman" w:hAnsi="Times New Roman"/>
          <w:sz w:val="24"/>
          <w:szCs w:val="24"/>
        </w:rPr>
        <w:t> :</w:t>
      </w:r>
      <w:r w:rsidRPr="0075134B">
        <w:rPr>
          <w:rFonts w:ascii="Times New Roman" w:hAnsi="Times New Roman"/>
          <w:sz w:val="24"/>
          <w:szCs w:val="24"/>
        </w:rPr>
        <w:t xml:space="preserve"> </w:t>
      </w:r>
      <w:r w:rsidR="0075134B" w:rsidRPr="001D1DC1">
        <w:rPr>
          <w:rFonts w:ascii="Times New Roman" w:hAnsi="Times New Roman"/>
          <w:b/>
          <w:sz w:val="24"/>
          <w:szCs w:val="24"/>
        </w:rPr>
        <w:t>25,41%</w:t>
      </w:r>
      <w:r w:rsidR="0075134B" w:rsidRPr="0075134B">
        <w:rPr>
          <w:rFonts w:ascii="Times New Roman" w:hAnsi="Times New Roman"/>
          <w:sz w:val="24"/>
          <w:szCs w:val="24"/>
        </w:rPr>
        <w:t xml:space="preserve"> </w:t>
      </w:r>
      <w:r w:rsidR="0075134B">
        <w:rPr>
          <w:rFonts w:ascii="Times New Roman" w:hAnsi="Times New Roman"/>
          <w:sz w:val="24"/>
          <w:szCs w:val="24"/>
        </w:rPr>
        <w:t>contre</w:t>
      </w:r>
      <w:r w:rsidRPr="0075134B">
        <w:rPr>
          <w:rFonts w:ascii="Times New Roman" w:hAnsi="Times New Roman"/>
          <w:sz w:val="24"/>
          <w:szCs w:val="24"/>
        </w:rPr>
        <w:t xml:space="preserve"> </w:t>
      </w:r>
      <w:r w:rsidR="00954243" w:rsidRPr="0075134B">
        <w:rPr>
          <w:rFonts w:ascii="Times New Roman" w:hAnsi="Times New Roman"/>
          <w:sz w:val="24"/>
          <w:szCs w:val="24"/>
        </w:rPr>
        <w:t xml:space="preserve">26,39% en 2019 </w:t>
      </w:r>
      <w:r w:rsidR="001D1DC1">
        <w:rPr>
          <w:rFonts w:ascii="Times New Roman" w:hAnsi="Times New Roman"/>
          <w:sz w:val="24"/>
          <w:szCs w:val="24"/>
        </w:rPr>
        <w:t xml:space="preserve">et </w:t>
      </w:r>
      <w:r w:rsidR="001D1DC1" w:rsidRPr="0075134B">
        <w:rPr>
          <w:rFonts w:ascii="Times New Roman" w:hAnsi="Times New Roman"/>
          <w:sz w:val="24"/>
          <w:szCs w:val="24"/>
        </w:rPr>
        <w:t>26,37% en 2018</w:t>
      </w:r>
      <w:r w:rsidR="001D1DC1">
        <w:rPr>
          <w:rFonts w:ascii="Times New Roman" w:hAnsi="Times New Roman"/>
          <w:sz w:val="24"/>
          <w:szCs w:val="24"/>
        </w:rPr>
        <w:t xml:space="preserve">, </w:t>
      </w:r>
      <w:r w:rsidR="00954243" w:rsidRPr="0075134B">
        <w:rPr>
          <w:rFonts w:ascii="Times New Roman" w:hAnsi="Times New Roman"/>
          <w:sz w:val="24"/>
          <w:szCs w:val="24"/>
        </w:rPr>
        <w:t xml:space="preserve">soit </w:t>
      </w:r>
      <w:r w:rsidR="00954243" w:rsidRPr="001D1DC1">
        <w:rPr>
          <w:rFonts w:ascii="Times New Roman" w:hAnsi="Times New Roman"/>
          <w:b/>
          <w:sz w:val="24"/>
          <w:szCs w:val="24"/>
        </w:rPr>
        <w:t>une légère régression de 0,98 points</w:t>
      </w:r>
      <w:r w:rsidR="001D1DC1">
        <w:rPr>
          <w:rFonts w:ascii="Times New Roman" w:hAnsi="Times New Roman"/>
          <w:sz w:val="24"/>
          <w:szCs w:val="24"/>
        </w:rPr>
        <w:t>, appelant à l’intensification d</w:t>
      </w:r>
      <w:r w:rsidR="001D18DB" w:rsidRPr="0075134B">
        <w:rPr>
          <w:rFonts w:ascii="Times New Roman" w:hAnsi="Times New Roman"/>
          <w:sz w:val="24"/>
          <w:szCs w:val="24"/>
        </w:rPr>
        <w:t xml:space="preserve">es efforts de création et de mobilisation de recettes propres par les EPE afin </w:t>
      </w:r>
      <w:r w:rsidR="001D1DC1">
        <w:rPr>
          <w:rFonts w:ascii="Times New Roman" w:hAnsi="Times New Roman"/>
          <w:sz w:val="24"/>
          <w:szCs w:val="24"/>
        </w:rPr>
        <w:t>de</w:t>
      </w:r>
      <w:r w:rsidR="001D18DB" w:rsidRPr="0075134B">
        <w:rPr>
          <w:rFonts w:ascii="Times New Roman" w:hAnsi="Times New Roman"/>
          <w:sz w:val="24"/>
          <w:szCs w:val="24"/>
        </w:rPr>
        <w:t xml:space="preserve"> renforce</w:t>
      </w:r>
      <w:r w:rsidR="001D1DC1">
        <w:rPr>
          <w:rFonts w:ascii="Times New Roman" w:hAnsi="Times New Roman"/>
          <w:sz w:val="24"/>
          <w:szCs w:val="24"/>
        </w:rPr>
        <w:t>r</w:t>
      </w:r>
      <w:r w:rsidR="001D18DB" w:rsidRPr="0075134B">
        <w:rPr>
          <w:rFonts w:ascii="Times New Roman" w:hAnsi="Times New Roman"/>
          <w:sz w:val="24"/>
          <w:szCs w:val="24"/>
        </w:rPr>
        <w:t xml:space="preserve"> leur autonomie financière</w:t>
      </w:r>
      <w:r w:rsidR="00FA2282">
        <w:rPr>
          <w:rFonts w:ascii="Times New Roman" w:hAnsi="Times New Roman"/>
          <w:sz w:val="24"/>
          <w:szCs w:val="24"/>
        </w:rPr>
        <w:t>,</w:t>
      </w:r>
    </w:p>
    <w:p w14:paraId="512A6097" w14:textId="77777777" w:rsidR="00235509" w:rsidRDefault="00235509" w:rsidP="00F0199F">
      <w:pPr>
        <w:widowControl w:val="0"/>
        <w:ind w:right="-1"/>
        <w:jc w:val="both"/>
      </w:pPr>
    </w:p>
    <w:p w14:paraId="61C859A5" w14:textId="77777777" w:rsidR="00131AB4" w:rsidRPr="00FA2282" w:rsidRDefault="00FA2282"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90171A">
        <w:rPr>
          <w:rFonts w:ascii="Times New Roman" w:hAnsi="Times New Roman"/>
          <w:b/>
          <w:sz w:val="24"/>
          <w:szCs w:val="24"/>
        </w:rPr>
        <w:t>montant</w:t>
      </w:r>
      <w:proofErr w:type="gramEnd"/>
      <w:r w:rsidRPr="0090171A">
        <w:rPr>
          <w:rFonts w:ascii="Times New Roman" w:hAnsi="Times New Roman"/>
          <w:b/>
          <w:sz w:val="24"/>
          <w:szCs w:val="24"/>
        </w:rPr>
        <w:t xml:space="preserve"> total des dettes</w:t>
      </w:r>
      <w:r>
        <w:rPr>
          <w:rFonts w:ascii="Times New Roman" w:hAnsi="Times New Roman"/>
          <w:sz w:val="24"/>
          <w:szCs w:val="24"/>
        </w:rPr>
        <w:t xml:space="preserve"> : </w:t>
      </w:r>
      <w:r w:rsidRPr="0090171A">
        <w:rPr>
          <w:rFonts w:ascii="Times New Roman" w:hAnsi="Times New Roman"/>
          <w:b/>
          <w:sz w:val="24"/>
          <w:szCs w:val="24"/>
        </w:rPr>
        <w:t>24,455 milliards de FCFA</w:t>
      </w:r>
      <w:r>
        <w:rPr>
          <w:rFonts w:ascii="Times New Roman" w:hAnsi="Times New Roman"/>
          <w:sz w:val="24"/>
          <w:szCs w:val="24"/>
        </w:rPr>
        <w:t xml:space="preserve"> contre </w:t>
      </w:r>
      <w:r w:rsidRPr="00FA2282">
        <w:rPr>
          <w:rFonts w:ascii="Times New Roman" w:hAnsi="Times New Roman"/>
          <w:sz w:val="24"/>
          <w:szCs w:val="24"/>
        </w:rPr>
        <w:t xml:space="preserve">16,801 milliards </w:t>
      </w:r>
      <w:r>
        <w:rPr>
          <w:rFonts w:ascii="Times New Roman" w:hAnsi="Times New Roman"/>
          <w:sz w:val="24"/>
          <w:szCs w:val="24"/>
        </w:rPr>
        <w:t xml:space="preserve">de FCFA en 2019 et </w:t>
      </w:r>
      <w:r w:rsidRPr="00FA2282">
        <w:rPr>
          <w:rFonts w:ascii="Times New Roman" w:hAnsi="Times New Roman"/>
          <w:sz w:val="24"/>
          <w:szCs w:val="24"/>
        </w:rPr>
        <w:t xml:space="preserve">62,237 milliards de FCFA </w:t>
      </w:r>
      <w:r>
        <w:rPr>
          <w:rFonts w:ascii="Times New Roman" w:hAnsi="Times New Roman"/>
          <w:sz w:val="24"/>
          <w:szCs w:val="24"/>
        </w:rPr>
        <w:t xml:space="preserve">en 2018, </w:t>
      </w:r>
      <w:r w:rsidRPr="0090171A">
        <w:rPr>
          <w:rFonts w:ascii="Times New Roman" w:hAnsi="Times New Roman"/>
          <w:b/>
          <w:sz w:val="24"/>
          <w:szCs w:val="24"/>
        </w:rPr>
        <w:t>soit un accroissement de 45,55% entre 2019 et 2020</w:t>
      </w:r>
      <w:r>
        <w:rPr>
          <w:rFonts w:ascii="Times New Roman" w:hAnsi="Times New Roman"/>
          <w:sz w:val="24"/>
          <w:szCs w:val="24"/>
        </w:rPr>
        <w:t>,</w:t>
      </w:r>
    </w:p>
    <w:p w14:paraId="5E240926" w14:textId="77777777" w:rsidR="00235509" w:rsidRPr="00F40034" w:rsidRDefault="00235509" w:rsidP="00F0199F">
      <w:pPr>
        <w:widowControl w:val="0"/>
        <w:ind w:right="-1"/>
        <w:jc w:val="both"/>
      </w:pPr>
    </w:p>
    <w:p w14:paraId="277FDA76" w14:textId="77777777" w:rsidR="0090171A" w:rsidRPr="00F0199F" w:rsidRDefault="00131AB4" w:rsidP="00F0199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4F1B85">
        <w:rPr>
          <w:rFonts w:ascii="Times New Roman" w:hAnsi="Times New Roman"/>
          <w:b/>
          <w:sz w:val="24"/>
          <w:szCs w:val="24"/>
        </w:rPr>
        <w:t>solde</w:t>
      </w:r>
      <w:proofErr w:type="gramEnd"/>
      <w:r w:rsidRPr="004F1B85">
        <w:rPr>
          <w:rFonts w:ascii="Times New Roman" w:hAnsi="Times New Roman"/>
          <w:b/>
          <w:sz w:val="24"/>
          <w:szCs w:val="24"/>
        </w:rPr>
        <w:t xml:space="preserve"> final de trésorerie</w:t>
      </w:r>
      <w:r w:rsidR="00F0199F">
        <w:rPr>
          <w:rFonts w:ascii="Times New Roman" w:hAnsi="Times New Roman"/>
          <w:sz w:val="24"/>
          <w:szCs w:val="24"/>
        </w:rPr>
        <w:t> :</w:t>
      </w:r>
      <w:r w:rsidRPr="00F0199F">
        <w:rPr>
          <w:rFonts w:ascii="Times New Roman" w:hAnsi="Times New Roman"/>
          <w:sz w:val="24"/>
          <w:szCs w:val="24"/>
        </w:rPr>
        <w:t xml:space="preserve"> </w:t>
      </w:r>
      <w:r w:rsidR="00F0199F" w:rsidRPr="004F1B85">
        <w:rPr>
          <w:rFonts w:ascii="Times New Roman" w:hAnsi="Times New Roman"/>
          <w:b/>
          <w:sz w:val="24"/>
          <w:szCs w:val="24"/>
        </w:rPr>
        <w:t>73,892 milliards de FCFA</w:t>
      </w:r>
      <w:r w:rsidR="00F0199F" w:rsidRPr="00F0199F">
        <w:rPr>
          <w:rFonts w:ascii="Times New Roman" w:hAnsi="Times New Roman"/>
          <w:sz w:val="24"/>
          <w:szCs w:val="24"/>
        </w:rPr>
        <w:t xml:space="preserve"> </w:t>
      </w:r>
      <w:r w:rsidR="004F1B85" w:rsidRPr="00F0199F">
        <w:rPr>
          <w:rFonts w:ascii="Times New Roman" w:hAnsi="Times New Roman"/>
          <w:sz w:val="24"/>
          <w:szCs w:val="24"/>
        </w:rPr>
        <w:t>contre 62,565 milliards de FCFA en 2019 et 71,344 milliards de FCFA en 2018</w:t>
      </w:r>
      <w:r w:rsidR="004F1B85">
        <w:rPr>
          <w:rFonts w:ascii="Times New Roman" w:hAnsi="Times New Roman"/>
          <w:sz w:val="24"/>
          <w:szCs w:val="24"/>
        </w:rPr>
        <w:t xml:space="preserve">, </w:t>
      </w:r>
      <w:r w:rsidR="001D18DB" w:rsidRPr="004F1B85">
        <w:rPr>
          <w:rFonts w:ascii="Times New Roman" w:hAnsi="Times New Roman"/>
          <w:b/>
          <w:sz w:val="24"/>
          <w:szCs w:val="24"/>
        </w:rPr>
        <w:t xml:space="preserve">soit une hausse de 18,10% </w:t>
      </w:r>
      <w:r w:rsidR="004F1B85" w:rsidRPr="004F1B85">
        <w:rPr>
          <w:rFonts w:ascii="Times New Roman" w:hAnsi="Times New Roman"/>
          <w:b/>
          <w:sz w:val="24"/>
          <w:szCs w:val="24"/>
        </w:rPr>
        <w:t>entre 2019 et 2020</w:t>
      </w:r>
      <w:r w:rsidR="004F1B85">
        <w:rPr>
          <w:rFonts w:ascii="Times New Roman" w:hAnsi="Times New Roman"/>
          <w:sz w:val="24"/>
          <w:szCs w:val="24"/>
        </w:rPr>
        <w:t>,</w:t>
      </w:r>
    </w:p>
    <w:p w14:paraId="6EECAAAB" w14:textId="77777777" w:rsidR="0090171A" w:rsidRDefault="0090171A" w:rsidP="00F0199F">
      <w:pPr>
        <w:widowControl w:val="0"/>
        <w:ind w:right="-1"/>
        <w:jc w:val="both"/>
      </w:pPr>
    </w:p>
    <w:p w14:paraId="085C5F1B" w14:textId="77777777" w:rsidR="00145472" w:rsidRPr="007B6258" w:rsidRDefault="00AB756B" w:rsidP="00AB756B">
      <w:pPr>
        <w:pStyle w:val="Paragraphedeliste"/>
        <w:widowControl w:val="0"/>
        <w:numPr>
          <w:ilvl w:val="0"/>
          <w:numId w:val="36"/>
        </w:numPr>
        <w:spacing w:after="0" w:line="240" w:lineRule="auto"/>
        <w:ind w:left="284" w:hanging="284"/>
        <w:jc w:val="both"/>
        <w:rPr>
          <w:rFonts w:ascii="Times New Roman" w:hAnsi="Times New Roman"/>
          <w:sz w:val="24"/>
          <w:szCs w:val="24"/>
        </w:rPr>
      </w:pPr>
      <w:r w:rsidRPr="007B6258">
        <w:rPr>
          <w:rFonts w:ascii="Times New Roman" w:hAnsi="Times New Roman"/>
          <w:b/>
          <w:sz w:val="24"/>
          <w:szCs w:val="24"/>
        </w:rPr>
        <w:t>taux de couverture trésorerie</w:t>
      </w:r>
      <w:r w:rsidR="003A6CCB" w:rsidRPr="007B6258">
        <w:rPr>
          <w:rFonts w:ascii="Times New Roman" w:hAnsi="Times New Roman"/>
          <w:b/>
          <w:sz w:val="24"/>
          <w:szCs w:val="24"/>
        </w:rPr>
        <w:t xml:space="preserve"> </w:t>
      </w:r>
      <w:r w:rsidRPr="007B6258">
        <w:rPr>
          <w:rFonts w:ascii="Times New Roman" w:hAnsi="Times New Roman"/>
          <w:b/>
          <w:sz w:val="24"/>
          <w:szCs w:val="24"/>
        </w:rPr>
        <w:t>/</w:t>
      </w:r>
      <w:r w:rsidR="003A6CCB" w:rsidRPr="007B6258">
        <w:rPr>
          <w:rFonts w:ascii="Times New Roman" w:hAnsi="Times New Roman"/>
          <w:b/>
          <w:sz w:val="24"/>
          <w:szCs w:val="24"/>
        </w:rPr>
        <w:t xml:space="preserve"> </w:t>
      </w:r>
      <w:r w:rsidRPr="007B6258">
        <w:rPr>
          <w:rFonts w:ascii="Times New Roman" w:hAnsi="Times New Roman"/>
          <w:b/>
          <w:sz w:val="24"/>
          <w:szCs w:val="24"/>
        </w:rPr>
        <w:t>dettes</w:t>
      </w:r>
      <w:r w:rsidRPr="007B6258">
        <w:rPr>
          <w:rFonts w:ascii="Times New Roman" w:hAnsi="Times New Roman"/>
          <w:sz w:val="24"/>
          <w:szCs w:val="24"/>
        </w:rPr>
        <w:t xml:space="preserve"> : </w:t>
      </w:r>
      <w:r w:rsidRPr="007B6258">
        <w:rPr>
          <w:rFonts w:ascii="Times New Roman" w:hAnsi="Times New Roman"/>
          <w:b/>
          <w:sz w:val="24"/>
          <w:szCs w:val="24"/>
        </w:rPr>
        <w:t>302,15%</w:t>
      </w:r>
      <w:r w:rsidRPr="007B6258">
        <w:rPr>
          <w:rFonts w:ascii="Times New Roman" w:hAnsi="Times New Roman"/>
          <w:sz w:val="24"/>
          <w:szCs w:val="24"/>
        </w:rPr>
        <w:t xml:space="preserve">, indiquant que </w:t>
      </w:r>
      <w:r w:rsidR="0073028F" w:rsidRPr="007B6258">
        <w:rPr>
          <w:rFonts w:ascii="Times New Roman" w:hAnsi="Times New Roman"/>
          <w:sz w:val="24"/>
          <w:szCs w:val="24"/>
        </w:rPr>
        <w:t xml:space="preserve">globalement, </w:t>
      </w:r>
      <w:r w:rsidRPr="007B6258">
        <w:rPr>
          <w:rFonts w:ascii="Times New Roman" w:hAnsi="Times New Roman"/>
          <w:sz w:val="24"/>
          <w:szCs w:val="24"/>
        </w:rPr>
        <w:t xml:space="preserve">le cumul des soldes finaux de trésorerie de l’exercice 2020 couvre le cumul des dettes </w:t>
      </w:r>
      <w:r w:rsidR="007B6258" w:rsidRPr="007B6258">
        <w:rPr>
          <w:rFonts w:ascii="Times New Roman" w:hAnsi="Times New Roman"/>
          <w:sz w:val="24"/>
          <w:szCs w:val="24"/>
        </w:rPr>
        <w:t xml:space="preserve">pour l’ensemble </w:t>
      </w:r>
      <w:r w:rsidRPr="007B6258">
        <w:rPr>
          <w:rFonts w:ascii="Times New Roman" w:hAnsi="Times New Roman"/>
          <w:sz w:val="24"/>
          <w:szCs w:val="24"/>
        </w:rPr>
        <w:t>des EPE</w:t>
      </w:r>
      <w:r w:rsidR="007B6258" w:rsidRPr="007B6258">
        <w:rPr>
          <w:rFonts w:ascii="Times New Roman" w:hAnsi="Times New Roman"/>
          <w:sz w:val="24"/>
          <w:szCs w:val="24"/>
        </w:rPr>
        <w:t xml:space="preserve"> bien que 15 EPE</w:t>
      </w:r>
      <w:r w:rsidR="007B6258">
        <w:rPr>
          <w:rFonts w:ascii="Times New Roman" w:hAnsi="Times New Roman"/>
          <w:sz w:val="24"/>
          <w:szCs w:val="24"/>
        </w:rPr>
        <w:t>,</w:t>
      </w:r>
      <w:r w:rsidR="007B6258" w:rsidRPr="007B6258">
        <w:rPr>
          <w:rFonts w:ascii="Times New Roman" w:hAnsi="Times New Roman"/>
          <w:sz w:val="24"/>
          <w:szCs w:val="24"/>
        </w:rPr>
        <w:t xml:space="preserve"> contre 9 en 2019</w:t>
      </w:r>
      <w:r w:rsidR="007B6258">
        <w:rPr>
          <w:rFonts w:ascii="Times New Roman" w:hAnsi="Times New Roman"/>
          <w:sz w:val="24"/>
          <w:szCs w:val="24"/>
        </w:rPr>
        <w:t>,</w:t>
      </w:r>
      <w:r w:rsidR="007B6258" w:rsidRPr="007B6258">
        <w:rPr>
          <w:rFonts w:ascii="Times New Roman" w:hAnsi="Times New Roman"/>
          <w:sz w:val="24"/>
          <w:szCs w:val="24"/>
        </w:rPr>
        <w:t xml:space="preserve"> </w:t>
      </w:r>
      <w:r w:rsidR="00DB2476">
        <w:rPr>
          <w:rFonts w:ascii="Times New Roman" w:hAnsi="Times New Roman"/>
          <w:sz w:val="24"/>
          <w:szCs w:val="24"/>
        </w:rPr>
        <w:t>aie</w:t>
      </w:r>
      <w:r w:rsidR="007B6258" w:rsidRPr="007B6258">
        <w:rPr>
          <w:rFonts w:ascii="Times New Roman" w:hAnsi="Times New Roman"/>
          <w:sz w:val="24"/>
          <w:szCs w:val="24"/>
        </w:rPr>
        <w:t>nt des soldes finaux de trésorerie qui ne couvrent pas le cumul des dettes</w:t>
      </w:r>
      <w:r w:rsidR="00DB2476">
        <w:rPr>
          <w:rFonts w:ascii="Times New Roman" w:hAnsi="Times New Roman"/>
          <w:sz w:val="24"/>
          <w:szCs w:val="24"/>
        </w:rPr>
        <w:t>, à savoir : le</w:t>
      </w:r>
      <w:r w:rsidR="007B6258" w:rsidRPr="007B6258">
        <w:rPr>
          <w:rFonts w:ascii="Times New Roman" w:hAnsi="Times New Roman"/>
          <w:sz w:val="24"/>
          <w:szCs w:val="24"/>
        </w:rPr>
        <w:t xml:space="preserve"> CHU-</w:t>
      </w:r>
      <w:proofErr w:type="spellStart"/>
      <w:r w:rsidR="007B6258" w:rsidRPr="007B6258">
        <w:rPr>
          <w:rFonts w:ascii="Times New Roman" w:hAnsi="Times New Roman"/>
          <w:sz w:val="24"/>
          <w:szCs w:val="24"/>
        </w:rPr>
        <w:t>Tengandogo</w:t>
      </w:r>
      <w:proofErr w:type="spellEnd"/>
      <w:r w:rsidR="00DB2476">
        <w:rPr>
          <w:rFonts w:ascii="Times New Roman" w:hAnsi="Times New Roman"/>
          <w:sz w:val="24"/>
          <w:szCs w:val="24"/>
        </w:rPr>
        <w:t xml:space="preserve">, le CHR de </w:t>
      </w:r>
      <w:r w:rsidR="007B6258" w:rsidRPr="007B6258">
        <w:rPr>
          <w:rFonts w:ascii="Times New Roman" w:hAnsi="Times New Roman"/>
          <w:sz w:val="24"/>
          <w:szCs w:val="24"/>
        </w:rPr>
        <w:t>Tenkodogo</w:t>
      </w:r>
      <w:r w:rsidR="00B45589">
        <w:rPr>
          <w:rFonts w:ascii="Times New Roman" w:hAnsi="Times New Roman"/>
          <w:sz w:val="24"/>
          <w:szCs w:val="24"/>
        </w:rPr>
        <w:t>, le</w:t>
      </w:r>
      <w:r w:rsidR="007B6258" w:rsidRPr="007B6258">
        <w:rPr>
          <w:rFonts w:ascii="Times New Roman" w:hAnsi="Times New Roman"/>
          <w:sz w:val="24"/>
          <w:szCs w:val="24"/>
        </w:rPr>
        <w:t xml:space="preserve"> CEFPO, l’</w:t>
      </w:r>
      <w:r w:rsidR="00EE1836" w:rsidRPr="007C0DED">
        <w:rPr>
          <w:rFonts w:ascii="Times New Roman" w:hAnsi="Times New Roman"/>
          <w:sz w:val="24"/>
          <w:szCs w:val="24"/>
        </w:rPr>
        <w:t>Institut d'</w:t>
      </w:r>
      <w:r w:rsidR="007C0DED">
        <w:rPr>
          <w:rFonts w:ascii="Times New Roman" w:hAnsi="Times New Roman"/>
          <w:sz w:val="24"/>
          <w:szCs w:val="24"/>
        </w:rPr>
        <w:t>é</w:t>
      </w:r>
      <w:r w:rsidR="00EE1836" w:rsidRPr="007C0DED">
        <w:rPr>
          <w:rFonts w:ascii="Times New Roman" w:hAnsi="Times New Roman"/>
          <w:sz w:val="24"/>
          <w:szCs w:val="24"/>
        </w:rPr>
        <w:t xml:space="preserve">ducation et de </w:t>
      </w:r>
      <w:r w:rsidR="007C0DED">
        <w:rPr>
          <w:rFonts w:ascii="Times New Roman" w:hAnsi="Times New Roman"/>
          <w:sz w:val="24"/>
          <w:szCs w:val="24"/>
        </w:rPr>
        <w:t>f</w:t>
      </w:r>
      <w:r w:rsidR="00EE1836" w:rsidRPr="007C0DED">
        <w:rPr>
          <w:rFonts w:ascii="Times New Roman" w:hAnsi="Times New Roman"/>
          <w:sz w:val="24"/>
          <w:szCs w:val="24"/>
        </w:rPr>
        <w:t xml:space="preserve">ormation </w:t>
      </w:r>
      <w:r w:rsidR="007C0DED">
        <w:rPr>
          <w:rFonts w:ascii="Times New Roman" w:hAnsi="Times New Roman"/>
          <w:sz w:val="24"/>
          <w:szCs w:val="24"/>
        </w:rPr>
        <w:t>p</w:t>
      </w:r>
      <w:r w:rsidR="00EE1836" w:rsidRPr="007C0DED">
        <w:rPr>
          <w:rFonts w:ascii="Times New Roman" w:hAnsi="Times New Roman"/>
          <w:sz w:val="24"/>
          <w:szCs w:val="24"/>
        </w:rPr>
        <w:t>rofessionnelle</w:t>
      </w:r>
      <w:r w:rsidR="00EE1836" w:rsidRPr="007B6258">
        <w:rPr>
          <w:rFonts w:ascii="Times New Roman" w:hAnsi="Times New Roman"/>
          <w:sz w:val="24"/>
          <w:szCs w:val="24"/>
        </w:rPr>
        <w:t xml:space="preserve"> </w:t>
      </w:r>
      <w:r w:rsidR="007C0DED">
        <w:rPr>
          <w:rFonts w:ascii="Times New Roman" w:hAnsi="Times New Roman"/>
          <w:sz w:val="24"/>
          <w:szCs w:val="24"/>
        </w:rPr>
        <w:t>(</w:t>
      </w:r>
      <w:r w:rsidR="007B6258" w:rsidRPr="007B6258">
        <w:rPr>
          <w:rFonts w:ascii="Times New Roman" w:hAnsi="Times New Roman"/>
          <w:sz w:val="24"/>
          <w:szCs w:val="24"/>
        </w:rPr>
        <w:t>INEFPRO</w:t>
      </w:r>
      <w:r w:rsidR="007C0DED">
        <w:rPr>
          <w:rFonts w:ascii="Times New Roman" w:hAnsi="Times New Roman"/>
          <w:sz w:val="24"/>
          <w:szCs w:val="24"/>
        </w:rPr>
        <w:t>)</w:t>
      </w:r>
      <w:r w:rsidR="002D3AE2">
        <w:rPr>
          <w:rFonts w:ascii="Times New Roman" w:hAnsi="Times New Roman"/>
          <w:sz w:val="24"/>
          <w:szCs w:val="24"/>
        </w:rPr>
        <w:t>, la Maison de l’enfant André Dupont de Orodara</w:t>
      </w:r>
      <w:r w:rsidR="007B6258" w:rsidRPr="007B6258">
        <w:rPr>
          <w:rFonts w:ascii="Times New Roman" w:hAnsi="Times New Roman"/>
          <w:sz w:val="24"/>
          <w:szCs w:val="24"/>
        </w:rPr>
        <w:t xml:space="preserve"> </w:t>
      </w:r>
      <w:r w:rsidR="002D3AE2">
        <w:rPr>
          <w:rFonts w:ascii="Times New Roman" w:hAnsi="Times New Roman"/>
          <w:sz w:val="24"/>
          <w:szCs w:val="24"/>
        </w:rPr>
        <w:t>(</w:t>
      </w:r>
      <w:r w:rsidR="007B6258" w:rsidRPr="007B6258">
        <w:rPr>
          <w:rFonts w:ascii="Times New Roman" w:hAnsi="Times New Roman"/>
          <w:sz w:val="24"/>
          <w:szCs w:val="24"/>
        </w:rPr>
        <w:t>MEADO</w:t>
      </w:r>
      <w:r w:rsidR="002D3AE2">
        <w:rPr>
          <w:rFonts w:ascii="Times New Roman" w:hAnsi="Times New Roman"/>
          <w:sz w:val="24"/>
          <w:szCs w:val="24"/>
        </w:rPr>
        <w:t>)</w:t>
      </w:r>
      <w:r w:rsidR="007B6258" w:rsidRPr="007B6258">
        <w:rPr>
          <w:rFonts w:ascii="Times New Roman" w:hAnsi="Times New Roman"/>
          <w:sz w:val="24"/>
          <w:szCs w:val="24"/>
        </w:rPr>
        <w:t>, l’UNB</w:t>
      </w:r>
      <w:r w:rsidR="002D3AE2">
        <w:rPr>
          <w:rFonts w:ascii="Times New Roman" w:hAnsi="Times New Roman"/>
          <w:sz w:val="24"/>
          <w:szCs w:val="24"/>
        </w:rPr>
        <w:t>,</w:t>
      </w:r>
      <w:r w:rsidR="007B6258" w:rsidRPr="007B6258">
        <w:rPr>
          <w:rFonts w:ascii="Times New Roman" w:hAnsi="Times New Roman"/>
          <w:sz w:val="24"/>
          <w:szCs w:val="24"/>
        </w:rPr>
        <w:t xml:space="preserve"> l’UJKZ</w:t>
      </w:r>
      <w:r w:rsidR="002D3AE2">
        <w:rPr>
          <w:rFonts w:ascii="Times New Roman" w:hAnsi="Times New Roman"/>
          <w:sz w:val="24"/>
          <w:szCs w:val="24"/>
        </w:rPr>
        <w:t xml:space="preserve">, </w:t>
      </w:r>
      <w:r w:rsidR="007B6258" w:rsidRPr="007B6258">
        <w:rPr>
          <w:rFonts w:ascii="Times New Roman" w:hAnsi="Times New Roman"/>
          <w:sz w:val="24"/>
          <w:szCs w:val="24"/>
        </w:rPr>
        <w:t>l’ABI, l’APEX-B, l’</w:t>
      </w:r>
      <w:r w:rsidR="002D3AE2" w:rsidRPr="002D3AE2">
        <w:rPr>
          <w:rFonts w:ascii="Times New Roman" w:hAnsi="Times New Roman"/>
          <w:sz w:val="24"/>
          <w:szCs w:val="24"/>
        </w:rPr>
        <w:t xml:space="preserve">Agence </w:t>
      </w:r>
      <w:r w:rsidR="002D3AE2">
        <w:rPr>
          <w:rFonts w:ascii="Times New Roman" w:hAnsi="Times New Roman"/>
          <w:sz w:val="24"/>
          <w:szCs w:val="24"/>
        </w:rPr>
        <w:t>n</w:t>
      </w:r>
      <w:r w:rsidR="002D3AE2" w:rsidRPr="002D3AE2">
        <w:rPr>
          <w:rFonts w:ascii="Times New Roman" w:hAnsi="Times New Roman"/>
          <w:sz w:val="24"/>
          <w:szCs w:val="24"/>
        </w:rPr>
        <w:t xml:space="preserve">ationale des </w:t>
      </w:r>
      <w:r w:rsidR="002D3AE2">
        <w:rPr>
          <w:rFonts w:ascii="Times New Roman" w:hAnsi="Times New Roman"/>
          <w:sz w:val="24"/>
          <w:szCs w:val="24"/>
        </w:rPr>
        <w:t>é</w:t>
      </w:r>
      <w:r w:rsidR="002D3AE2" w:rsidRPr="002D3AE2">
        <w:rPr>
          <w:rFonts w:ascii="Times New Roman" w:hAnsi="Times New Roman"/>
          <w:sz w:val="24"/>
          <w:szCs w:val="24"/>
        </w:rPr>
        <w:t xml:space="preserve">nergies </w:t>
      </w:r>
      <w:r w:rsidR="002D3AE2">
        <w:rPr>
          <w:rFonts w:ascii="Times New Roman" w:hAnsi="Times New Roman"/>
          <w:sz w:val="24"/>
          <w:szCs w:val="24"/>
        </w:rPr>
        <w:t>r</w:t>
      </w:r>
      <w:r w:rsidR="002D3AE2" w:rsidRPr="002D3AE2">
        <w:rPr>
          <w:rFonts w:ascii="Times New Roman" w:hAnsi="Times New Roman"/>
          <w:sz w:val="24"/>
          <w:szCs w:val="24"/>
        </w:rPr>
        <w:t>enouvelables et de l'</w:t>
      </w:r>
      <w:r w:rsidR="002D3AE2">
        <w:rPr>
          <w:rFonts w:ascii="Times New Roman" w:hAnsi="Times New Roman"/>
          <w:sz w:val="24"/>
          <w:szCs w:val="24"/>
        </w:rPr>
        <w:t>e</w:t>
      </w:r>
      <w:r w:rsidR="002D3AE2" w:rsidRPr="002D3AE2">
        <w:rPr>
          <w:rFonts w:ascii="Times New Roman" w:hAnsi="Times New Roman"/>
          <w:sz w:val="24"/>
          <w:szCs w:val="24"/>
        </w:rPr>
        <w:t>fficacité</w:t>
      </w:r>
      <w:r w:rsidR="002D3AE2">
        <w:rPr>
          <w:rFonts w:ascii="Times New Roman" w:hAnsi="Times New Roman"/>
          <w:sz w:val="24"/>
          <w:szCs w:val="24"/>
        </w:rPr>
        <w:t xml:space="preserve"> é</w:t>
      </w:r>
      <w:r w:rsidR="002D3AE2" w:rsidRPr="002D3AE2">
        <w:rPr>
          <w:rFonts w:ascii="Times New Roman" w:hAnsi="Times New Roman"/>
          <w:sz w:val="24"/>
          <w:szCs w:val="24"/>
        </w:rPr>
        <w:t>nergétique</w:t>
      </w:r>
      <w:r w:rsidR="002D3AE2" w:rsidRPr="007B6258">
        <w:rPr>
          <w:rFonts w:ascii="Times New Roman" w:hAnsi="Times New Roman"/>
          <w:sz w:val="24"/>
          <w:szCs w:val="24"/>
        </w:rPr>
        <w:t xml:space="preserve"> </w:t>
      </w:r>
      <w:r w:rsidR="002D3AE2">
        <w:rPr>
          <w:rFonts w:ascii="Times New Roman" w:hAnsi="Times New Roman"/>
          <w:sz w:val="24"/>
          <w:szCs w:val="24"/>
        </w:rPr>
        <w:t>(</w:t>
      </w:r>
      <w:r w:rsidR="007B6258" w:rsidRPr="007B6258">
        <w:rPr>
          <w:rFonts w:ascii="Times New Roman" w:hAnsi="Times New Roman"/>
          <w:sz w:val="24"/>
          <w:szCs w:val="24"/>
        </w:rPr>
        <w:t>ANEREE</w:t>
      </w:r>
      <w:r w:rsidR="002D3AE2">
        <w:rPr>
          <w:rFonts w:ascii="Times New Roman" w:hAnsi="Times New Roman"/>
          <w:sz w:val="24"/>
          <w:szCs w:val="24"/>
        </w:rPr>
        <w:t>)</w:t>
      </w:r>
      <w:r w:rsidR="007B6258" w:rsidRPr="007B6258">
        <w:rPr>
          <w:rFonts w:ascii="Times New Roman" w:hAnsi="Times New Roman"/>
          <w:sz w:val="24"/>
          <w:szCs w:val="24"/>
        </w:rPr>
        <w:t>, l’</w:t>
      </w:r>
      <w:r w:rsidR="009B552E">
        <w:rPr>
          <w:rFonts w:ascii="Times New Roman" w:hAnsi="Times New Roman"/>
          <w:sz w:val="24"/>
          <w:szCs w:val="24"/>
        </w:rPr>
        <w:t>Agence nationale pour la promotion des technologies de l’information et de la communication (</w:t>
      </w:r>
      <w:r w:rsidR="007B6258" w:rsidRPr="007B6258">
        <w:rPr>
          <w:rFonts w:ascii="Times New Roman" w:hAnsi="Times New Roman"/>
          <w:sz w:val="24"/>
          <w:szCs w:val="24"/>
        </w:rPr>
        <w:t>ANPTIC</w:t>
      </w:r>
      <w:r w:rsidR="009B552E">
        <w:rPr>
          <w:rFonts w:ascii="Times New Roman" w:hAnsi="Times New Roman"/>
          <w:sz w:val="24"/>
          <w:szCs w:val="24"/>
        </w:rPr>
        <w:t>)</w:t>
      </w:r>
      <w:r w:rsidR="007B6258" w:rsidRPr="007B6258">
        <w:rPr>
          <w:rFonts w:ascii="Times New Roman" w:hAnsi="Times New Roman"/>
          <w:sz w:val="24"/>
          <w:szCs w:val="24"/>
        </w:rPr>
        <w:t>, l’ANSSI, l’</w:t>
      </w:r>
      <w:r w:rsidR="009D3442">
        <w:rPr>
          <w:rFonts w:ascii="Times New Roman" w:hAnsi="Times New Roman"/>
          <w:sz w:val="24"/>
          <w:szCs w:val="24"/>
        </w:rPr>
        <w:t>Agence burkinabè de l’électrification rurale (</w:t>
      </w:r>
      <w:r w:rsidR="007B6258" w:rsidRPr="007B6258">
        <w:rPr>
          <w:rFonts w:ascii="Times New Roman" w:hAnsi="Times New Roman"/>
          <w:sz w:val="24"/>
          <w:szCs w:val="24"/>
        </w:rPr>
        <w:t>ABER</w:t>
      </w:r>
      <w:r w:rsidR="009D3442">
        <w:rPr>
          <w:rFonts w:ascii="Times New Roman" w:hAnsi="Times New Roman"/>
          <w:sz w:val="24"/>
          <w:szCs w:val="24"/>
        </w:rPr>
        <w:t>), le Salon international de l’artisanat de Ouagadougou</w:t>
      </w:r>
      <w:r w:rsidR="007B6258" w:rsidRPr="007B6258">
        <w:rPr>
          <w:rFonts w:ascii="Times New Roman" w:hAnsi="Times New Roman"/>
          <w:sz w:val="24"/>
          <w:szCs w:val="24"/>
        </w:rPr>
        <w:t xml:space="preserve"> </w:t>
      </w:r>
      <w:r w:rsidR="009D3442">
        <w:rPr>
          <w:rFonts w:ascii="Times New Roman" w:hAnsi="Times New Roman"/>
          <w:sz w:val="24"/>
          <w:szCs w:val="24"/>
        </w:rPr>
        <w:t>(</w:t>
      </w:r>
      <w:r w:rsidR="007B6258" w:rsidRPr="007B6258">
        <w:rPr>
          <w:rFonts w:ascii="Times New Roman" w:hAnsi="Times New Roman"/>
          <w:sz w:val="24"/>
          <w:szCs w:val="24"/>
        </w:rPr>
        <w:t>SIAO</w:t>
      </w:r>
      <w:r w:rsidR="009D3442">
        <w:rPr>
          <w:rFonts w:ascii="Times New Roman" w:hAnsi="Times New Roman"/>
          <w:sz w:val="24"/>
          <w:szCs w:val="24"/>
        </w:rPr>
        <w:t xml:space="preserve">) et </w:t>
      </w:r>
      <w:r w:rsidR="007B6258" w:rsidRPr="007B6258">
        <w:rPr>
          <w:rFonts w:ascii="Times New Roman" w:hAnsi="Times New Roman"/>
          <w:sz w:val="24"/>
          <w:szCs w:val="24"/>
        </w:rPr>
        <w:t>la MCB</w:t>
      </w:r>
      <w:r w:rsidR="00836F95">
        <w:rPr>
          <w:rFonts w:ascii="Times New Roman" w:hAnsi="Times New Roman"/>
          <w:sz w:val="24"/>
          <w:szCs w:val="24"/>
        </w:rPr>
        <w:t>.</w:t>
      </w:r>
    </w:p>
    <w:p w14:paraId="5AB94162" w14:textId="77777777" w:rsidR="00145472" w:rsidRDefault="00145472" w:rsidP="00F0199F">
      <w:pPr>
        <w:widowControl w:val="0"/>
        <w:ind w:right="-1"/>
        <w:jc w:val="both"/>
      </w:pPr>
    </w:p>
    <w:p w14:paraId="100E3DBF" w14:textId="77777777" w:rsidR="00836F95" w:rsidRDefault="00131AB4" w:rsidP="00F0199F">
      <w:pPr>
        <w:widowControl w:val="0"/>
        <w:ind w:right="-1"/>
        <w:jc w:val="both"/>
      </w:pPr>
      <w:r w:rsidRPr="00F40034">
        <w:t>L’analyse de la situation financière des 1</w:t>
      </w:r>
      <w:r w:rsidR="008F3997" w:rsidRPr="00F40034">
        <w:t>8</w:t>
      </w:r>
      <w:r w:rsidRPr="00F40034">
        <w:t xml:space="preserve"> </w:t>
      </w:r>
      <w:r w:rsidR="00EB2011" w:rsidRPr="00F40034">
        <w:t xml:space="preserve">FN </w:t>
      </w:r>
      <w:r w:rsidRPr="00F40034">
        <w:t xml:space="preserve">ayant effectivement transmis les états financiers </w:t>
      </w:r>
      <w:r w:rsidR="00836F95">
        <w:t>présente les informations qui suivent :</w:t>
      </w:r>
    </w:p>
    <w:p w14:paraId="0D638681" w14:textId="77777777" w:rsidR="00836F95" w:rsidRDefault="00836F95" w:rsidP="00F0199F">
      <w:pPr>
        <w:widowControl w:val="0"/>
        <w:ind w:right="-1"/>
        <w:jc w:val="both"/>
      </w:pPr>
    </w:p>
    <w:p w14:paraId="3E2BCC98" w14:textId="77777777" w:rsidR="00131AB4" w:rsidRPr="0016487E" w:rsidRDefault="00131AB4" w:rsidP="0016487E">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934E75">
        <w:rPr>
          <w:rFonts w:ascii="Times New Roman" w:hAnsi="Times New Roman"/>
          <w:b/>
          <w:sz w:val="24"/>
          <w:szCs w:val="24"/>
        </w:rPr>
        <w:t>montant</w:t>
      </w:r>
      <w:proofErr w:type="gramEnd"/>
      <w:r w:rsidRPr="00934E75">
        <w:rPr>
          <w:rFonts w:ascii="Times New Roman" w:hAnsi="Times New Roman"/>
          <w:b/>
          <w:sz w:val="24"/>
          <w:szCs w:val="24"/>
        </w:rPr>
        <w:t xml:space="preserve"> total des recettes (y compris les subventions)</w:t>
      </w:r>
      <w:r w:rsidR="00934E75">
        <w:rPr>
          <w:rFonts w:ascii="Times New Roman" w:hAnsi="Times New Roman"/>
          <w:sz w:val="24"/>
          <w:szCs w:val="24"/>
        </w:rPr>
        <w:t> :</w:t>
      </w:r>
      <w:r w:rsidRPr="0016487E">
        <w:rPr>
          <w:rFonts w:ascii="Times New Roman" w:hAnsi="Times New Roman"/>
          <w:sz w:val="24"/>
          <w:szCs w:val="24"/>
        </w:rPr>
        <w:t xml:space="preserve"> </w:t>
      </w:r>
      <w:r w:rsidR="002B12A4" w:rsidRPr="0016487E">
        <w:rPr>
          <w:rFonts w:ascii="Times New Roman" w:hAnsi="Times New Roman"/>
          <w:sz w:val="24"/>
          <w:szCs w:val="24"/>
        </w:rPr>
        <w:t>de</w:t>
      </w:r>
      <w:r w:rsidRPr="0016487E">
        <w:rPr>
          <w:rFonts w:ascii="Times New Roman" w:hAnsi="Times New Roman"/>
          <w:sz w:val="24"/>
          <w:szCs w:val="24"/>
        </w:rPr>
        <w:t xml:space="preserve"> </w:t>
      </w:r>
      <w:r w:rsidR="00EB2011" w:rsidRPr="00934E75">
        <w:rPr>
          <w:rFonts w:ascii="Times New Roman" w:hAnsi="Times New Roman"/>
          <w:b/>
          <w:sz w:val="24"/>
          <w:szCs w:val="24"/>
        </w:rPr>
        <w:t>172,884 milliards de FCFA</w:t>
      </w:r>
      <w:r w:rsidR="00EB2011" w:rsidRPr="0016487E">
        <w:rPr>
          <w:rFonts w:ascii="Times New Roman" w:hAnsi="Times New Roman"/>
          <w:sz w:val="24"/>
          <w:szCs w:val="24"/>
        </w:rPr>
        <w:t xml:space="preserve"> contre 101,507 milliards de FCFA en 2019</w:t>
      </w:r>
      <w:r w:rsidR="00934E75">
        <w:rPr>
          <w:rFonts w:ascii="Times New Roman" w:hAnsi="Times New Roman"/>
          <w:sz w:val="24"/>
          <w:szCs w:val="24"/>
        </w:rPr>
        <w:t xml:space="preserve"> et </w:t>
      </w:r>
      <w:r w:rsidR="00934E75" w:rsidRPr="0016487E">
        <w:rPr>
          <w:rFonts w:ascii="Times New Roman" w:hAnsi="Times New Roman"/>
          <w:sz w:val="24"/>
          <w:szCs w:val="24"/>
        </w:rPr>
        <w:t>90,717 milliards de FCFA en 2018</w:t>
      </w:r>
      <w:r w:rsidR="00EB2011" w:rsidRPr="0016487E">
        <w:rPr>
          <w:rFonts w:ascii="Times New Roman" w:hAnsi="Times New Roman"/>
          <w:sz w:val="24"/>
          <w:szCs w:val="24"/>
        </w:rPr>
        <w:t xml:space="preserve">, soit </w:t>
      </w:r>
      <w:r w:rsidR="00EB2011" w:rsidRPr="00833CAF">
        <w:rPr>
          <w:rFonts w:ascii="Times New Roman" w:hAnsi="Times New Roman"/>
          <w:b/>
          <w:sz w:val="24"/>
          <w:szCs w:val="24"/>
        </w:rPr>
        <w:t>une hausse de 70,32 %</w:t>
      </w:r>
      <w:r w:rsidR="00934E75" w:rsidRPr="00833CAF">
        <w:rPr>
          <w:rFonts w:ascii="Times New Roman" w:hAnsi="Times New Roman"/>
          <w:b/>
          <w:sz w:val="24"/>
          <w:szCs w:val="24"/>
        </w:rPr>
        <w:t xml:space="preserve"> entre 2019 et 2020</w:t>
      </w:r>
      <w:r w:rsidR="00934E75">
        <w:rPr>
          <w:rFonts w:ascii="Times New Roman" w:hAnsi="Times New Roman"/>
          <w:sz w:val="24"/>
          <w:szCs w:val="24"/>
        </w:rPr>
        <w:t>,</w:t>
      </w:r>
    </w:p>
    <w:p w14:paraId="3154B2DE" w14:textId="77777777" w:rsidR="00235509" w:rsidRPr="00F40034" w:rsidRDefault="00235509" w:rsidP="00F0199F">
      <w:pPr>
        <w:widowControl w:val="0"/>
        <w:ind w:right="-1"/>
        <w:jc w:val="both"/>
      </w:pPr>
    </w:p>
    <w:p w14:paraId="195ECBB6" w14:textId="77777777" w:rsidR="00131AB4" w:rsidRPr="00833CAF" w:rsidRDefault="00833CAF" w:rsidP="00833CAF">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Pr>
          <w:rFonts w:ascii="Times New Roman" w:hAnsi="Times New Roman"/>
          <w:b/>
          <w:sz w:val="24"/>
          <w:szCs w:val="24"/>
        </w:rPr>
        <w:t>montant</w:t>
      </w:r>
      <w:proofErr w:type="gramEnd"/>
      <w:r>
        <w:rPr>
          <w:rFonts w:ascii="Times New Roman" w:hAnsi="Times New Roman"/>
          <w:b/>
          <w:sz w:val="24"/>
          <w:szCs w:val="24"/>
        </w:rPr>
        <w:t xml:space="preserve"> </w:t>
      </w:r>
      <w:r w:rsidR="00EB2011" w:rsidRPr="00833CAF">
        <w:rPr>
          <w:rFonts w:ascii="Times New Roman" w:hAnsi="Times New Roman"/>
          <w:b/>
          <w:sz w:val="24"/>
          <w:szCs w:val="24"/>
        </w:rPr>
        <w:t>total des dépenses budgétaires</w:t>
      </w:r>
      <w:r>
        <w:rPr>
          <w:rFonts w:ascii="Times New Roman" w:hAnsi="Times New Roman"/>
          <w:sz w:val="24"/>
          <w:szCs w:val="24"/>
        </w:rPr>
        <w:t> :</w:t>
      </w:r>
      <w:r w:rsidR="00EB2011" w:rsidRPr="00833CAF">
        <w:rPr>
          <w:rFonts w:ascii="Times New Roman" w:hAnsi="Times New Roman"/>
          <w:sz w:val="24"/>
          <w:szCs w:val="24"/>
        </w:rPr>
        <w:t xml:space="preserve"> </w:t>
      </w:r>
      <w:r w:rsidR="0077105C" w:rsidRPr="00AB2BCC">
        <w:rPr>
          <w:rFonts w:ascii="Times New Roman" w:hAnsi="Times New Roman"/>
          <w:b/>
          <w:sz w:val="24"/>
          <w:szCs w:val="24"/>
        </w:rPr>
        <w:t>101,739 milliards de FCFA</w:t>
      </w:r>
      <w:r w:rsidR="0077105C" w:rsidRPr="00833CAF">
        <w:rPr>
          <w:rFonts w:ascii="Times New Roman" w:hAnsi="Times New Roman"/>
          <w:sz w:val="24"/>
          <w:szCs w:val="24"/>
        </w:rPr>
        <w:t xml:space="preserve"> </w:t>
      </w:r>
      <w:r w:rsidR="0077105C">
        <w:rPr>
          <w:rFonts w:ascii="Times New Roman" w:hAnsi="Times New Roman"/>
          <w:sz w:val="24"/>
          <w:szCs w:val="24"/>
        </w:rPr>
        <w:t>contre</w:t>
      </w:r>
      <w:r w:rsidR="00EB2011" w:rsidRPr="00833CAF">
        <w:rPr>
          <w:rFonts w:ascii="Times New Roman" w:hAnsi="Times New Roman"/>
          <w:sz w:val="24"/>
          <w:szCs w:val="24"/>
        </w:rPr>
        <w:t xml:space="preserve"> 79,837 milliards de FCFA en 2019</w:t>
      </w:r>
      <w:r w:rsidR="0077105C">
        <w:rPr>
          <w:rFonts w:ascii="Times New Roman" w:hAnsi="Times New Roman"/>
          <w:sz w:val="24"/>
          <w:szCs w:val="24"/>
        </w:rPr>
        <w:t xml:space="preserve"> et</w:t>
      </w:r>
      <w:r w:rsidR="00EB2011" w:rsidRPr="00833CAF">
        <w:rPr>
          <w:rFonts w:ascii="Times New Roman" w:hAnsi="Times New Roman"/>
          <w:sz w:val="24"/>
          <w:szCs w:val="24"/>
        </w:rPr>
        <w:t xml:space="preserve"> </w:t>
      </w:r>
      <w:r w:rsidR="0077105C" w:rsidRPr="00833CAF">
        <w:rPr>
          <w:rFonts w:ascii="Times New Roman" w:hAnsi="Times New Roman"/>
          <w:sz w:val="24"/>
          <w:szCs w:val="24"/>
        </w:rPr>
        <w:t>55,358 milliards de FCFA en 2018</w:t>
      </w:r>
      <w:r w:rsidR="0077105C">
        <w:rPr>
          <w:rFonts w:ascii="Times New Roman" w:hAnsi="Times New Roman"/>
          <w:sz w:val="24"/>
          <w:szCs w:val="24"/>
        </w:rPr>
        <w:t>,</w:t>
      </w:r>
      <w:r w:rsidR="00EB2011" w:rsidRPr="00833CAF">
        <w:rPr>
          <w:rFonts w:ascii="Times New Roman" w:hAnsi="Times New Roman"/>
          <w:sz w:val="24"/>
          <w:szCs w:val="24"/>
        </w:rPr>
        <w:t xml:space="preserve"> soit </w:t>
      </w:r>
      <w:r w:rsidR="00EB2011" w:rsidRPr="0011481B">
        <w:rPr>
          <w:rFonts w:ascii="Times New Roman" w:hAnsi="Times New Roman"/>
          <w:b/>
          <w:sz w:val="24"/>
          <w:szCs w:val="24"/>
        </w:rPr>
        <w:t xml:space="preserve">une </w:t>
      </w:r>
      <w:r w:rsidR="00AB2BCC" w:rsidRPr="0011481B">
        <w:rPr>
          <w:rFonts w:ascii="Times New Roman" w:hAnsi="Times New Roman"/>
          <w:b/>
          <w:sz w:val="24"/>
          <w:szCs w:val="24"/>
        </w:rPr>
        <w:t>augmentation</w:t>
      </w:r>
      <w:r w:rsidR="00EB2011" w:rsidRPr="0011481B">
        <w:rPr>
          <w:rFonts w:ascii="Times New Roman" w:hAnsi="Times New Roman"/>
          <w:b/>
          <w:sz w:val="24"/>
          <w:szCs w:val="24"/>
        </w:rPr>
        <w:t xml:space="preserve"> de 27,43%</w:t>
      </w:r>
      <w:r w:rsidR="00AB2BCC" w:rsidRPr="0011481B">
        <w:rPr>
          <w:rFonts w:ascii="Times New Roman" w:hAnsi="Times New Roman"/>
          <w:b/>
          <w:sz w:val="24"/>
          <w:szCs w:val="24"/>
        </w:rPr>
        <w:t xml:space="preserve"> entre 2019 et 2020</w:t>
      </w:r>
      <w:r w:rsidR="00AB2BCC">
        <w:rPr>
          <w:rFonts w:ascii="Times New Roman" w:hAnsi="Times New Roman"/>
          <w:sz w:val="24"/>
          <w:szCs w:val="24"/>
        </w:rPr>
        <w:t>,</w:t>
      </w:r>
    </w:p>
    <w:p w14:paraId="64B9CF85" w14:textId="77777777" w:rsidR="00235509" w:rsidRPr="00F40034" w:rsidRDefault="00235509" w:rsidP="00F0199F">
      <w:pPr>
        <w:widowControl w:val="0"/>
        <w:ind w:right="-1"/>
        <w:jc w:val="both"/>
      </w:pPr>
    </w:p>
    <w:p w14:paraId="475B0951" w14:textId="77777777" w:rsidR="00131AB4" w:rsidRPr="0011481B" w:rsidRDefault="00EB2011" w:rsidP="0011481B">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FE6A3B">
        <w:rPr>
          <w:rFonts w:ascii="Times New Roman" w:hAnsi="Times New Roman"/>
          <w:b/>
          <w:sz w:val="24"/>
          <w:szCs w:val="24"/>
        </w:rPr>
        <w:t>montant</w:t>
      </w:r>
      <w:proofErr w:type="gramEnd"/>
      <w:r w:rsidRPr="00FE6A3B">
        <w:rPr>
          <w:rFonts w:ascii="Times New Roman" w:hAnsi="Times New Roman"/>
          <w:b/>
          <w:sz w:val="24"/>
          <w:szCs w:val="24"/>
        </w:rPr>
        <w:t xml:space="preserve"> total des financements accordés</w:t>
      </w:r>
      <w:r w:rsidR="0011481B">
        <w:rPr>
          <w:rFonts w:ascii="Times New Roman" w:hAnsi="Times New Roman"/>
          <w:sz w:val="24"/>
          <w:szCs w:val="24"/>
        </w:rPr>
        <w:t> :</w:t>
      </w:r>
      <w:r w:rsidRPr="0011481B">
        <w:rPr>
          <w:rFonts w:ascii="Times New Roman" w:hAnsi="Times New Roman"/>
          <w:sz w:val="24"/>
          <w:szCs w:val="24"/>
        </w:rPr>
        <w:t xml:space="preserve"> </w:t>
      </w:r>
      <w:r w:rsidRPr="00FE6A3B">
        <w:rPr>
          <w:rFonts w:ascii="Times New Roman" w:hAnsi="Times New Roman"/>
          <w:b/>
          <w:sz w:val="24"/>
          <w:szCs w:val="24"/>
        </w:rPr>
        <w:t>85,991 milliards de FCFA</w:t>
      </w:r>
      <w:r w:rsidRPr="0011481B">
        <w:rPr>
          <w:rFonts w:ascii="Times New Roman" w:hAnsi="Times New Roman"/>
          <w:sz w:val="24"/>
          <w:szCs w:val="24"/>
        </w:rPr>
        <w:t xml:space="preserve"> </w:t>
      </w:r>
      <w:r w:rsidR="007615B6">
        <w:rPr>
          <w:rFonts w:ascii="Times New Roman" w:hAnsi="Times New Roman"/>
          <w:sz w:val="24"/>
          <w:szCs w:val="24"/>
        </w:rPr>
        <w:t xml:space="preserve">(dont 47,01% des Fonds d’Etat (FE) et 52,99% des FNF) </w:t>
      </w:r>
      <w:r w:rsidRPr="0011481B">
        <w:rPr>
          <w:rFonts w:ascii="Times New Roman" w:hAnsi="Times New Roman"/>
          <w:sz w:val="24"/>
          <w:szCs w:val="24"/>
        </w:rPr>
        <w:t>contre 65,819 milliards de FCFA en 2019</w:t>
      </w:r>
      <w:r w:rsidR="00FF7EBC">
        <w:rPr>
          <w:rFonts w:ascii="Times New Roman" w:hAnsi="Times New Roman"/>
          <w:sz w:val="24"/>
          <w:szCs w:val="24"/>
        </w:rPr>
        <w:t xml:space="preserve"> et </w:t>
      </w:r>
      <w:r w:rsidR="00FF7EBC" w:rsidRPr="0011481B">
        <w:rPr>
          <w:rFonts w:ascii="Times New Roman" w:hAnsi="Times New Roman"/>
          <w:sz w:val="24"/>
          <w:szCs w:val="24"/>
        </w:rPr>
        <w:t>45,984 milliards de FCFA en 2018</w:t>
      </w:r>
      <w:r w:rsidRPr="0011481B">
        <w:rPr>
          <w:rFonts w:ascii="Times New Roman" w:hAnsi="Times New Roman"/>
          <w:sz w:val="24"/>
          <w:szCs w:val="24"/>
        </w:rPr>
        <w:t xml:space="preserve">, soit </w:t>
      </w:r>
      <w:r w:rsidRPr="00FE6A3B">
        <w:rPr>
          <w:rFonts w:ascii="Times New Roman" w:hAnsi="Times New Roman"/>
          <w:b/>
          <w:sz w:val="24"/>
          <w:szCs w:val="24"/>
        </w:rPr>
        <w:t xml:space="preserve">une </w:t>
      </w:r>
      <w:r w:rsidR="00FE6A3B" w:rsidRPr="00FE6A3B">
        <w:rPr>
          <w:rFonts w:ascii="Times New Roman" w:hAnsi="Times New Roman"/>
          <w:b/>
          <w:sz w:val="24"/>
          <w:szCs w:val="24"/>
        </w:rPr>
        <w:t>hausse</w:t>
      </w:r>
      <w:r w:rsidRPr="00FE6A3B">
        <w:rPr>
          <w:rFonts w:ascii="Times New Roman" w:hAnsi="Times New Roman"/>
          <w:b/>
          <w:sz w:val="24"/>
          <w:szCs w:val="24"/>
        </w:rPr>
        <w:t xml:space="preserve"> de 30,65%</w:t>
      </w:r>
      <w:r w:rsidR="00FE6A3B" w:rsidRPr="00FE6A3B">
        <w:rPr>
          <w:rFonts w:ascii="Times New Roman" w:hAnsi="Times New Roman"/>
          <w:b/>
          <w:sz w:val="24"/>
          <w:szCs w:val="24"/>
        </w:rPr>
        <w:t xml:space="preserve"> entre 2019 et 2020</w:t>
      </w:r>
      <w:r w:rsidR="00FE6A3B">
        <w:rPr>
          <w:rFonts w:ascii="Times New Roman" w:hAnsi="Times New Roman"/>
          <w:sz w:val="24"/>
          <w:szCs w:val="24"/>
        </w:rPr>
        <w:t>,</w:t>
      </w:r>
    </w:p>
    <w:p w14:paraId="0A8146C4" w14:textId="77777777" w:rsidR="00235509" w:rsidRPr="00F40034" w:rsidRDefault="00235509" w:rsidP="00F0199F">
      <w:pPr>
        <w:widowControl w:val="0"/>
        <w:ind w:right="-1"/>
        <w:jc w:val="both"/>
      </w:pPr>
    </w:p>
    <w:p w14:paraId="1C84749E" w14:textId="77777777" w:rsidR="00EB2011" w:rsidRPr="00924BB8" w:rsidRDefault="00EB2011" w:rsidP="00924BB8">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E561EA">
        <w:rPr>
          <w:rFonts w:ascii="Times New Roman" w:hAnsi="Times New Roman"/>
          <w:b/>
          <w:sz w:val="24"/>
          <w:szCs w:val="24"/>
        </w:rPr>
        <w:t>impayés</w:t>
      </w:r>
      <w:proofErr w:type="gramEnd"/>
      <w:r w:rsidRPr="00E561EA">
        <w:rPr>
          <w:rFonts w:ascii="Times New Roman" w:hAnsi="Times New Roman"/>
          <w:b/>
          <w:sz w:val="24"/>
          <w:szCs w:val="24"/>
        </w:rPr>
        <w:t xml:space="preserve"> (crédits échus et non encore remboursés) des FNF</w:t>
      </w:r>
      <w:r w:rsidR="0076393B">
        <w:rPr>
          <w:rFonts w:ascii="Times New Roman" w:hAnsi="Times New Roman"/>
          <w:sz w:val="24"/>
          <w:szCs w:val="24"/>
        </w:rPr>
        <w:t> :</w:t>
      </w:r>
      <w:r w:rsidRPr="00924BB8">
        <w:rPr>
          <w:rFonts w:ascii="Times New Roman" w:hAnsi="Times New Roman"/>
          <w:sz w:val="24"/>
          <w:szCs w:val="24"/>
        </w:rPr>
        <w:t xml:space="preserve"> </w:t>
      </w:r>
      <w:r w:rsidRPr="0076393B">
        <w:rPr>
          <w:rFonts w:ascii="Times New Roman" w:hAnsi="Times New Roman"/>
          <w:b/>
          <w:sz w:val="24"/>
          <w:szCs w:val="24"/>
        </w:rPr>
        <w:t>39,985 milliards de FCFA</w:t>
      </w:r>
      <w:r w:rsidRPr="00924BB8">
        <w:rPr>
          <w:rFonts w:ascii="Times New Roman" w:hAnsi="Times New Roman"/>
          <w:sz w:val="24"/>
          <w:szCs w:val="24"/>
        </w:rPr>
        <w:t xml:space="preserve"> contre 18,401 milliards de FCFA en 2019, soit </w:t>
      </w:r>
      <w:r w:rsidRPr="0076393B">
        <w:rPr>
          <w:rFonts w:ascii="Times New Roman" w:hAnsi="Times New Roman"/>
          <w:b/>
          <w:sz w:val="24"/>
          <w:szCs w:val="24"/>
        </w:rPr>
        <w:t>un</w:t>
      </w:r>
      <w:r w:rsidR="0076393B" w:rsidRPr="0076393B">
        <w:rPr>
          <w:rFonts w:ascii="Times New Roman" w:hAnsi="Times New Roman"/>
          <w:b/>
          <w:sz w:val="24"/>
          <w:szCs w:val="24"/>
        </w:rPr>
        <w:t xml:space="preserve"> accroissement </w:t>
      </w:r>
      <w:r w:rsidRPr="0076393B">
        <w:rPr>
          <w:rFonts w:ascii="Times New Roman" w:hAnsi="Times New Roman"/>
          <w:b/>
          <w:sz w:val="24"/>
          <w:szCs w:val="24"/>
        </w:rPr>
        <w:t>de 117,29%</w:t>
      </w:r>
      <w:r w:rsidR="0076393B">
        <w:rPr>
          <w:rFonts w:ascii="Times New Roman" w:hAnsi="Times New Roman"/>
          <w:sz w:val="24"/>
          <w:szCs w:val="24"/>
        </w:rPr>
        <w:t>,</w:t>
      </w:r>
      <w:r w:rsidRPr="00924BB8">
        <w:rPr>
          <w:rFonts w:ascii="Times New Roman" w:hAnsi="Times New Roman"/>
          <w:sz w:val="24"/>
          <w:szCs w:val="24"/>
        </w:rPr>
        <w:t xml:space="preserve"> </w:t>
      </w:r>
      <w:r w:rsidR="005737CB">
        <w:rPr>
          <w:rFonts w:ascii="Times New Roman" w:hAnsi="Times New Roman"/>
          <w:sz w:val="24"/>
          <w:szCs w:val="24"/>
        </w:rPr>
        <w:t>ce qui interpelle aux efforts à déployer</w:t>
      </w:r>
      <w:r w:rsidRPr="00924BB8">
        <w:rPr>
          <w:rFonts w:ascii="Times New Roman" w:hAnsi="Times New Roman"/>
          <w:sz w:val="24"/>
          <w:szCs w:val="24"/>
        </w:rPr>
        <w:t xml:space="preserve"> en matière de recouvrement par les FNF</w:t>
      </w:r>
      <w:r w:rsidR="00E561EA">
        <w:rPr>
          <w:rFonts w:ascii="Times New Roman" w:hAnsi="Times New Roman"/>
          <w:sz w:val="24"/>
          <w:szCs w:val="24"/>
        </w:rPr>
        <w:t>,</w:t>
      </w:r>
    </w:p>
    <w:p w14:paraId="207A99B5" w14:textId="77777777" w:rsidR="00235509" w:rsidRPr="00F40034" w:rsidRDefault="00235509" w:rsidP="00F0199F">
      <w:pPr>
        <w:widowControl w:val="0"/>
        <w:ind w:right="-1"/>
        <w:jc w:val="both"/>
      </w:pPr>
    </w:p>
    <w:p w14:paraId="1A677319" w14:textId="77777777" w:rsidR="00131AB4" w:rsidRPr="00E561EA" w:rsidRDefault="00131AB4" w:rsidP="00E561EA">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E561EA">
        <w:rPr>
          <w:rFonts w:ascii="Times New Roman" w:hAnsi="Times New Roman"/>
          <w:b/>
          <w:sz w:val="24"/>
          <w:szCs w:val="24"/>
        </w:rPr>
        <w:t>ratio</w:t>
      </w:r>
      <w:proofErr w:type="gramEnd"/>
      <w:r w:rsidRPr="00E561EA">
        <w:rPr>
          <w:rFonts w:ascii="Times New Roman" w:hAnsi="Times New Roman"/>
          <w:b/>
          <w:sz w:val="24"/>
          <w:szCs w:val="24"/>
        </w:rPr>
        <w:t xml:space="preserve"> de couverture des dépenses par les ressources</w:t>
      </w:r>
      <w:r w:rsidR="00E561EA">
        <w:rPr>
          <w:rFonts w:ascii="Times New Roman" w:hAnsi="Times New Roman"/>
          <w:sz w:val="24"/>
          <w:szCs w:val="24"/>
        </w:rPr>
        <w:t xml:space="preserve"> : </w:t>
      </w:r>
      <w:r w:rsidRPr="00E561EA">
        <w:rPr>
          <w:rFonts w:ascii="Times New Roman" w:hAnsi="Times New Roman"/>
          <w:b/>
          <w:sz w:val="24"/>
          <w:szCs w:val="24"/>
        </w:rPr>
        <w:t>1</w:t>
      </w:r>
      <w:r w:rsidR="004D1E35" w:rsidRPr="00E561EA">
        <w:rPr>
          <w:rFonts w:ascii="Times New Roman" w:hAnsi="Times New Roman"/>
          <w:b/>
          <w:sz w:val="24"/>
          <w:szCs w:val="24"/>
        </w:rPr>
        <w:t>69</w:t>
      </w:r>
      <w:r w:rsidRPr="00E561EA">
        <w:rPr>
          <w:rFonts w:ascii="Times New Roman" w:hAnsi="Times New Roman"/>
          <w:b/>
          <w:sz w:val="24"/>
          <w:szCs w:val="24"/>
        </w:rPr>
        <w:t>,</w:t>
      </w:r>
      <w:r w:rsidR="004D1E35" w:rsidRPr="00E561EA">
        <w:rPr>
          <w:rFonts w:ascii="Times New Roman" w:hAnsi="Times New Roman"/>
          <w:b/>
          <w:sz w:val="24"/>
          <w:szCs w:val="24"/>
        </w:rPr>
        <w:t>93</w:t>
      </w:r>
      <w:r w:rsidRPr="00E561EA">
        <w:rPr>
          <w:rFonts w:ascii="Times New Roman" w:hAnsi="Times New Roman"/>
          <w:b/>
          <w:sz w:val="24"/>
          <w:szCs w:val="24"/>
        </w:rPr>
        <w:t>%</w:t>
      </w:r>
      <w:r w:rsidRPr="00E561EA">
        <w:rPr>
          <w:rFonts w:ascii="Times New Roman" w:hAnsi="Times New Roman"/>
          <w:sz w:val="24"/>
          <w:szCs w:val="24"/>
        </w:rPr>
        <w:t xml:space="preserve"> contre </w:t>
      </w:r>
      <w:r w:rsidR="004D1E35" w:rsidRPr="00E561EA">
        <w:rPr>
          <w:rFonts w:ascii="Times New Roman" w:hAnsi="Times New Roman"/>
          <w:sz w:val="24"/>
          <w:szCs w:val="24"/>
        </w:rPr>
        <w:t>127</w:t>
      </w:r>
      <w:r w:rsidRPr="00E561EA">
        <w:rPr>
          <w:rFonts w:ascii="Times New Roman" w:hAnsi="Times New Roman"/>
          <w:sz w:val="24"/>
          <w:szCs w:val="24"/>
        </w:rPr>
        <w:t>,</w:t>
      </w:r>
      <w:r w:rsidR="004D1E35" w:rsidRPr="00E561EA">
        <w:rPr>
          <w:rFonts w:ascii="Times New Roman" w:hAnsi="Times New Roman"/>
          <w:sz w:val="24"/>
          <w:szCs w:val="24"/>
        </w:rPr>
        <w:t>14</w:t>
      </w:r>
      <w:r w:rsidRPr="00E561EA">
        <w:rPr>
          <w:rFonts w:ascii="Times New Roman" w:hAnsi="Times New Roman"/>
          <w:sz w:val="24"/>
          <w:szCs w:val="24"/>
        </w:rPr>
        <w:t>% en 201</w:t>
      </w:r>
      <w:r w:rsidR="004D1E35" w:rsidRPr="00E561EA">
        <w:rPr>
          <w:rFonts w:ascii="Times New Roman" w:hAnsi="Times New Roman"/>
          <w:sz w:val="24"/>
          <w:szCs w:val="24"/>
        </w:rPr>
        <w:t>9</w:t>
      </w:r>
      <w:r w:rsidRPr="00E561EA">
        <w:rPr>
          <w:rFonts w:ascii="Times New Roman" w:hAnsi="Times New Roman"/>
          <w:sz w:val="24"/>
          <w:szCs w:val="24"/>
        </w:rPr>
        <w:t xml:space="preserve"> et 16</w:t>
      </w:r>
      <w:r w:rsidR="004D1E35" w:rsidRPr="00E561EA">
        <w:rPr>
          <w:rFonts w:ascii="Times New Roman" w:hAnsi="Times New Roman"/>
          <w:sz w:val="24"/>
          <w:szCs w:val="24"/>
        </w:rPr>
        <w:t>3</w:t>
      </w:r>
      <w:r w:rsidRPr="00E561EA">
        <w:rPr>
          <w:rFonts w:ascii="Times New Roman" w:hAnsi="Times New Roman"/>
          <w:sz w:val="24"/>
          <w:szCs w:val="24"/>
        </w:rPr>
        <w:t>,</w:t>
      </w:r>
      <w:r w:rsidR="004D1E35" w:rsidRPr="00E561EA">
        <w:rPr>
          <w:rFonts w:ascii="Times New Roman" w:hAnsi="Times New Roman"/>
          <w:sz w:val="24"/>
          <w:szCs w:val="24"/>
        </w:rPr>
        <w:t>87</w:t>
      </w:r>
      <w:r w:rsidRPr="00E561EA">
        <w:rPr>
          <w:rFonts w:ascii="Times New Roman" w:hAnsi="Times New Roman"/>
          <w:sz w:val="24"/>
          <w:szCs w:val="24"/>
        </w:rPr>
        <w:t>% en 201</w:t>
      </w:r>
      <w:r w:rsidR="004D1E35" w:rsidRPr="00E561EA">
        <w:rPr>
          <w:rFonts w:ascii="Times New Roman" w:hAnsi="Times New Roman"/>
          <w:sz w:val="24"/>
          <w:szCs w:val="24"/>
        </w:rPr>
        <w:t>8</w:t>
      </w:r>
      <w:r w:rsidRPr="00E561EA">
        <w:rPr>
          <w:rFonts w:ascii="Times New Roman" w:hAnsi="Times New Roman"/>
          <w:sz w:val="24"/>
          <w:szCs w:val="24"/>
        </w:rPr>
        <w:t xml:space="preserve"> pour l’ensemble des F</w:t>
      </w:r>
      <w:r w:rsidR="005F2DF6" w:rsidRPr="00E561EA">
        <w:rPr>
          <w:rFonts w:ascii="Times New Roman" w:hAnsi="Times New Roman"/>
          <w:sz w:val="24"/>
          <w:szCs w:val="24"/>
        </w:rPr>
        <w:t>N</w:t>
      </w:r>
      <w:r w:rsidRPr="00E561EA">
        <w:rPr>
          <w:rFonts w:ascii="Times New Roman" w:hAnsi="Times New Roman"/>
          <w:sz w:val="24"/>
          <w:szCs w:val="24"/>
        </w:rPr>
        <w:t>, traduisant une bonne prudence des responsables dans l’exécution des dépenses budgétaires</w:t>
      </w:r>
      <w:r w:rsidR="00A03CFD">
        <w:rPr>
          <w:rFonts w:ascii="Times New Roman" w:hAnsi="Times New Roman"/>
          <w:sz w:val="24"/>
          <w:szCs w:val="24"/>
        </w:rPr>
        <w:t>,</w:t>
      </w:r>
    </w:p>
    <w:p w14:paraId="0DB73E5B" w14:textId="77777777" w:rsidR="00235509" w:rsidRPr="00F40034" w:rsidRDefault="00235509" w:rsidP="00F0199F">
      <w:pPr>
        <w:widowControl w:val="0"/>
        <w:ind w:right="-1"/>
        <w:jc w:val="both"/>
      </w:pPr>
    </w:p>
    <w:p w14:paraId="49DFEC58" w14:textId="77777777" w:rsidR="00131AB4" w:rsidRPr="003F7B9B" w:rsidRDefault="00131AB4" w:rsidP="003F7B9B">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3A30AE">
        <w:rPr>
          <w:rFonts w:ascii="Times New Roman" w:hAnsi="Times New Roman"/>
          <w:b/>
          <w:sz w:val="24"/>
          <w:szCs w:val="24"/>
        </w:rPr>
        <w:t>ratio</w:t>
      </w:r>
      <w:proofErr w:type="gramEnd"/>
      <w:r w:rsidRPr="003A30AE">
        <w:rPr>
          <w:rFonts w:ascii="Times New Roman" w:hAnsi="Times New Roman"/>
          <w:b/>
          <w:sz w:val="24"/>
          <w:szCs w:val="24"/>
        </w:rPr>
        <w:t xml:space="preserve"> part des charges de personnel dans les dépenses de fonctionnement</w:t>
      </w:r>
      <w:r w:rsidR="003A30AE">
        <w:rPr>
          <w:rFonts w:ascii="Times New Roman" w:hAnsi="Times New Roman"/>
          <w:sz w:val="24"/>
          <w:szCs w:val="24"/>
        </w:rPr>
        <w:t> :</w:t>
      </w:r>
      <w:r w:rsidR="004D1E35" w:rsidRPr="003F7B9B">
        <w:rPr>
          <w:rFonts w:ascii="Times New Roman" w:hAnsi="Times New Roman"/>
          <w:sz w:val="24"/>
          <w:szCs w:val="24"/>
        </w:rPr>
        <w:t xml:space="preserve"> </w:t>
      </w:r>
      <w:r w:rsidR="003A30AE" w:rsidRPr="003A30AE">
        <w:rPr>
          <w:rFonts w:ascii="Times New Roman" w:hAnsi="Times New Roman"/>
          <w:b/>
          <w:sz w:val="24"/>
          <w:szCs w:val="24"/>
        </w:rPr>
        <w:t>34,22%</w:t>
      </w:r>
      <w:r w:rsidR="003A30AE" w:rsidRPr="003F7B9B">
        <w:rPr>
          <w:rFonts w:ascii="Times New Roman" w:hAnsi="Times New Roman"/>
          <w:sz w:val="24"/>
          <w:szCs w:val="24"/>
        </w:rPr>
        <w:t xml:space="preserve"> </w:t>
      </w:r>
      <w:r w:rsidR="003A30AE">
        <w:rPr>
          <w:rFonts w:ascii="Times New Roman" w:hAnsi="Times New Roman"/>
          <w:sz w:val="24"/>
          <w:szCs w:val="24"/>
        </w:rPr>
        <w:t xml:space="preserve">contre </w:t>
      </w:r>
      <w:r w:rsidR="004D1E35" w:rsidRPr="003F7B9B">
        <w:rPr>
          <w:rFonts w:ascii="Times New Roman" w:hAnsi="Times New Roman"/>
          <w:sz w:val="24"/>
          <w:szCs w:val="24"/>
        </w:rPr>
        <w:t xml:space="preserve">33,02% en 2019 </w:t>
      </w:r>
      <w:r w:rsidR="003A30AE">
        <w:rPr>
          <w:rFonts w:ascii="Times New Roman" w:hAnsi="Times New Roman"/>
          <w:sz w:val="24"/>
          <w:szCs w:val="24"/>
        </w:rPr>
        <w:t>et</w:t>
      </w:r>
      <w:r w:rsidR="004D1E35" w:rsidRPr="003F7B9B">
        <w:rPr>
          <w:rFonts w:ascii="Times New Roman" w:hAnsi="Times New Roman"/>
          <w:sz w:val="24"/>
          <w:szCs w:val="24"/>
        </w:rPr>
        <w:t xml:space="preserve"> 41,06% en 2018</w:t>
      </w:r>
      <w:r w:rsidR="003A30AE">
        <w:rPr>
          <w:rFonts w:ascii="Times New Roman" w:hAnsi="Times New Roman"/>
          <w:sz w:val="24"/>
          <w:szCs w:val="24"/>
        </w:rPr>
        <w:t>, montrant un respect par les</w:t>
      </w:r>
      <w:r w:rsidRPr="003F7B9B">
        <w:rPr>
          <w:rFonts w:ascii="Times New Roman" w:hAnsi="Times New Roman"/>
          <w:sz w:val="24"/>
          <w:szCs w:val="24"/>
        </w:rPr>
        <w:t xml:space="preserve"> F</w:t>
      </w:r>
      <w:r w:rsidR="005F2DF6" w:rsidRPr="003F7B9B">
        <w:rPr>
          <w:rFonts w:ascii="Times New Roman" w:hAnsi="Times New Roman"/>
          <w:sz w:val="24"/>
          <w:szCs w:val="24"/>
        </w:rPr>
        <w:t>N</w:t>
      </w:r>
      <w:r w:rsidRPr="003F7B9B">
        <w:rPr>
          <w:rFonts w:ascii="Times New Roman" w:hAnsi="Times New Roman"/>
          <w:sz w:val="24"/>
          <w:szCs w:val="24"/>
        </w:rPr>
        <w:t xml:space="preserve"> </w:t>
      </w:r>
      <w:r w:rsidR="003A30AE">
        <w:rPr>
          <w:rFonts w:ascii="Times New Roman" w:hAnsi="Times New Roman"/>
          <w:sz w:val="24"/>
          <w:szCs w:val="24"/>
        </w:rPr>
        <w:t xml:space="preserve">de </w:t>
      </w:r>
      <w:r w:rsidRPr="003F7B9B">
        <w:rPr>
          <w:rFonts w:ascii="Times New Roman" w:hAnsi="Times New Roman"/>
          <w:sz w:val="24"/>
          <w:szCs w:val="24"/>
        </w:rPr>
        <w:t>la norme de 50% max</w:t>
      </w:r>
      <w:r w:rsidR="003A30AE">
        <w:rPr>
          <w:rFonts w:ascii="Times New Roman" w:hAnsi="Times New Roman"/>
          <w:sz w:val="24"/>
          <w:szCs w:val="24"/>
        </w:rPr>
        <w:t>imum,</w:t>
      </w:r>
    </w:p>
    <w:p w14:paraId="2E7ACA28" w14:textId="77777777" w:rsidR="00235509" w:rsidRPr="00F40034" w:rsidRDefault="00235509" w:rsidP="00F0199F">
      <w:pPr>
        <w:widowControl w:val="0"/>
        <w:ind w:right="-1"/>
        <w:jc w:val="both"/>
      </w:pPr>
    </w:p>
    <w:p w14:paraId="37AA205F" w14:textId="77777777" w:rsidR="00131AB4" w:rsidRPr="00EB4AA6" w:rsidRDefault="000373E4" w:rsidP="00EB4AA6">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916B4B">
        <w:rPr>
          <w:rFonts w:ascii="Times New Roman" w:hAnsi="Times New Roman"/>
          <w:b/>
          <w:sz w:val="24"/>
          <w:szCs w:val="24"/>
        </w:rPr>
        <w:t>taux</w:t>
      </w:r>
      <w:proofErr w:type="gramEnd"/>
      <w:r w:rsidRPr="00916B4B">
        <w:rPr>
          <w:rFonts w:ascii="Times New Roman" w:hAnsi="Times New Roman"/>
          <w:b/>
          <w:sz w:val="24"/>
          <w:szCs w:val="24"/>
        </w:rPr>
        <w:t xml:space="preserve"> de réalisation des recettes</w:t>
      </w:r>
      <w:r>
        <w:rPr>
          <w:rFonts w:ascii="Times New Roman" w:hAnsi="Times New Roman"/>
          <w:sz w:val="24"/>
          <w:szCs w:val="24"/>
        </w:rPr>
        <w:t> :</w:t>
      </w:r>
      <w:r w:rsidRPr="00EB4AA6">
        <w:rPr>
          <w:rFonts w:ascii="Times New Roman" w:hAnsi="Times New Roman"/>
          <w:sz w:val="24"/>
          <w:szCs w:val="24"/>
        </w:rPr>
        <w:t xml:space="preserve"> </w:t>
      </w:r>
      <w:r w:rsidR="00916B4B" w:rsidRPr="002F5D12">
        <w:rPr>
          <w:rFonts w:ascii="Times New Roman" w:hAnsi="Times New Roman"/>
          <w:b/>
          <w:sz w:val="24"/>
          <w:szCs w:val="24"/>
        </w:rPr>
        <w:t>91,36%</w:t>
      </w:r>
      <w:r w:rsidR="00916B4B" w:rsidRPr="00EB4AA6">
        <w:rPr>
          <w:rFonts w:ascii="Times New Roman" w:hAnsi="Times New Roman"/>
          <w:sz w:val="24"/>
          <w:szCs w:val="24"/>
        </w:rPr>
        <w:t xml:space="preserve"> </w:t>
      </w:r>
      <w:r w:rsidR="006A2174" w:rsidRPr="00F5762D">
        <w:rPr>
          <w:rFonts w:ascii="Times New Roman" w:hAnsi="Times New Roman"/>
          <w:b/>
          <w:sz w:val="24"/>
          <w:szCs w:val="24"/>
        </w:rPr>
        <w:t>(83,69% pour les FE et 96,23% pour les FNF</w:t>
      </w:r>
      <w:r w:rsidR="005661AD" w:rsidRPr="00F5762D">
        <w:rPr>
          <w:rFonts w:ascii="Times New Roman" w:hAnsi="Times New Roman"/>
          <w:b/>
          <w:sz w:val="24"/>
          <w:szCs w:val="24"/>
        </w:rPr>
        <w:t>)</w:t>
      </w:r>
      <w:r w:rsidR="006A2174">
        <w:rPr>
          <w:rFonts w:ascii="Times New Roman" w:hAnsi="Times New Roman"/>
          <w:sz w:val="24"/>
          <w:szCs w:val="24"/>
        </w:rPr>
        <w:t xml:space="preserve"> </w:t>
      </w:r>
      <w:r w:rsidR="00916B4B">
        <w:rPr>
          <w:rFonts w:ascii="Times New Roman" w:hAnsi="Times New Roman"/>
          <w:sz w:val="24"/>
          <w:szCs w:val="24"/>
        </w:rPr>
        <w:t xml:space="preserve">contre </w:t>
      </w:r>
      <w:r w:rsidR="00916B4B" w:rsidRPr="00EB4AA6">
        <w:rPr>
          <w:rFonts w:ascii="Times New Roman" w:hAnsi="Times New Roman"/>
          <w:sz w:val="24"/>
          <w:szCs w:val="24"/>
        </w:rPr>
        <w:lastRenderedPageBreak/>
        <w:t xml:space="preserve">98,32% en 2019 </w:t>
      </w:r>
      <w:r w:rsidR="00916B4B">
        <w:rPr>
          <w:rFonts w:ascii="Times New Roman" w:hAnsi="Times New Roman"/>
          <w:sz w:val="24"/>
          <w:szCs w:val="24"/>
        </w:rPr>
        <w:t xml:space="preserve">et </w:t>
      </w:r>
      <w:r w:rsidR="005E7025" w:rsidRPr="00EB4AA6">
        <w:rPr>
          <w:rFonts w:ascii="Times New Roman" w:hAnsi="Times New Roman"/>
          <w:sz w:val="24"/>
          <w:szCs w:val="24"/>
        </w:rPr>
        <w:t>96,14% en 2018</w:t>
      </w:r>
      <w:r w:rsidR="005E7025">
        <w:rPr>
          <w:rFonts w:ascii="Times New Roman" w:hAnsi="Times New Roman"/>
          <w:sz w:val="24"/>
          <w:szCs w:val="24"/>
        </w:rPr>
        <w:t xml:space="preserve">, </w:t>
      </w:r>
      <w:r w:rsidR="005661AD">
        <w:rPr>
          <w:rFonts w:ascii="Times New Roman" w:hAnsi="Times New Roman"/>
          <w:sz w:val="24"/>
          <w:szCs w:val="24"/>
        </w:rPr>
        <w:t>ce qui constitue un taux</w:t>
      </w:r>
      <w:r w:rsidR="004D1E35" w:rsidRPr="00EB4AA6">
        <w:rPr>
          <w:rFonts w:ascii="Times New Roman" w:hAnsi="Times New Roman"/>
          <w:sz w:val="24"/>
          <w:szCs w:val="24"/>
        </w:rPr>
        <w:t xml:space="preserve"> satisfaisant </w:t>
      </w:r>
      <w:r w:rsidR="005661AD">
        <w:rPr>
          <w:rFonts w:ascii="Times New Roman" w:hAnsi="Times New Roman"/>
          <w:sz w:val="24"/>
          <w:szCs w:val="24"/>
        </w:rPr>
        <w:t>au regard de</w:t>
      </w:r>
      <w:r w:rsidR="004D1E35" w:rsidRPr="00EB4AA6">
        <w:rPr>
          <w:rFonts w:ascii="Times New Roman" w:hAnsi="Times New Roman"/>
          <w:sz w:val="24"/>
          <w:szCs w:val="24"/>
        </w:rPr>
        <w:t xml:space="preserve"> la norme de 80% </w:t>
      </w:r>
      <w:r w:rsidR="005661AD">
        <w:rPr>
          <w:rFonts w:ascii="Times New Roman" w:hAnsi="Times New Roman"/>
          <w:sz w:val="24"/>
          <w:szCs w:val="24"/>
        </w:rPr>
        <w:t>minimu</w:t>
      </w:r>
      <w:r w:rsidR="00F07D42">
        <w:rPr>
          <w:rFonts w:ascii="Times New Roman" w:hAnsi="Times New Roman"/>
          <w:sz w:val="24"/>
          <w:szCs w:val="24"/>
        </w:rPr>
        <w:t>m</w:t>
      </w:r>
      <w:r w:rsidR="005661AD">
        <w:rPr>
          <w:rFonts w:ascii="Times New Roman" w:hAnsi="Times New Roman"/>
          <w:sz w:val="24"/>
          <w:szCs w:val="24"/>
        </w:rPr>
        <w:t>,</w:t>
      </w:r>
    </w:p>
    <w:p w14:paraId="14A8AD10" w14:textId="77777777" w:rsidR="00235509" w:rsidRPr="00F40034" w:rsidRDefault="00235509" w:rsidP="00F0199F">
      <w:pPr>
        <w:widowControl w:val="0"/>
        <w:ind w:right="-1"/>
        <w:jc w:val="both"/>
      </w:pPr>
    </w:p>
    <w:p w14:paraId="2603FC68" w14:textId="77777777" w:rsidR="00131AB4" w:rsidRPr="00F07D42" w:rsidRDefault="00085397" w:rsidP="00F07D42">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F5762D">
        <w:rPr>
          <w:rFonts w:ascii="Times New Roman" w:hAnsi="Times New Roman"/>
          <w:b/>
          <w:sz w:val="24"/>
          <w:szCs w:val="24"/>
        </w:rPr>
        <w:t>taux</w:t>
      </w:r>
      <w:proofErr w:type="gramEnd"/>
      <w:r w:rsidRPr="00F5762D">
        <w:rPr>
          <w:rFonts w:ascii="Times New Roman" w:hAnsi="Times New Roman"/>
          <w:b/>
          <w:sz w:val="24"/>
          <w:szCs w:val="24"/>
        </w:rPr>
        <w:t xml:space="preserve"> global d’exécution des dépenses</w:t>
      </w:r>
      <w:r w:rsidR="00F5762D">
        <w:rPr>
          <w:rFonts w:ascii="Times New Roman" w:hAnsi="Times New Roman"/>
          <w:sz w:val="24"/>
          <w:szCs w:val="24"/>
        </w:rPr>
        <w:t> :</w:t>
      </w:r>
      <w:r w:rsidRPr="00F07D42">
        <w:rPr>
          <w:rFonts w:ascii="Times New Roman" w:hAnsi="Times New Roman"/>
          <w:sz w:val="24"/>
          <w:szCs w:val="24"/>
        </w:rPr>
        <w:t xml:space="preserve"> </w:t>
      </w:r>
      <w:r w:rsidR="00F5762D" w:rsidRPr="00F5762D">
        <w:rPr>
          <w:rFonts w:ascii="Times New Roman" w:hAnsi="Times New Roman"/>
          <w:b/>
          <w:sz w:val="24"/>
          <w:szCs w:val="24"/>
        </w:rPr>
        <w:t>53,85% (67,18% pour les FE et 45,38% pour les FNF)</w:t>
      </w:r>
      <w:r w:rsidR="00F5762D">
        <w:rPr>
          <w:rFonts w:ascii="Times New Roman" w:hAnsi="Times New Roman"/>
          <w:sz w:val="24"/>
          <w:szCs w:val="24"/>
        </w:rPr>
        <w:t xml:space="preserve"> contre</w:t>
      </w:r>
      <w:r w:rsidRPr="00F07D42">
        <w:rPr>
          <w:rFonts w:ascii="Times New Roman" w:hAnsi="Times New Roman"/>
          <w:sz w:val="24"/>
          <w:szCs w:val="24"/>
        </w:rPr>
        <w:t xml:space="preserve"> </w:t>
      </w:r>
      <w:r w:rsidR="00F5762D" w:rsidRPr="00F07D42">
        <w:rPr>
          <w:rFonts w:ascii="Times New Roman" w:hAnsi="Times New Roman"/>
          <w:sz w:val="24"/>
          <w:szCs w:val="24"/>
        </w:rPr>
        <w:t xml:space="preserve">77,29% en 2019 </w:t>
      </w:r>
      <w:r w:rsidR="00F5762D">
        <w:rPr>
          <w:rFonts w:ascii="Times New Roman" w:hAnsi="Times New Roman"/>
          <w:sz w:val="24"/>
          <w:szCs w:val="24"/>
        </w:rPr>
        <w:t xml:space="preserve">et </w:t>
      </w:r>
      <w:r w:rsidRPr="00F07D42">
        <w:rPr>
          <w:rFonts w:ascii="Times New Roman" w:hAnsi="Times New Roman"/>
          <w:sz w:val="24"/>
          <w:szCs w:val="24"/>
        </w:rPr>
        <w:t xml:space="preserve">59,00% en 2018, </w:t>
      </w:r>
      <w:r w:rsidR="00F5762D">
        <w:rPr>
          <w:rFonts w:ascii="Times New Roman" w:hAnsi="Times New Roman"/>
          <w:sz w:val="24"/>
          <w:szCs w:val="24"/>
        </w:rPr>
        <w:t xml:space="preserve">indiquant </w:t>
      </w:r>
      <w:r w:rsidR="00131AB4" w:rsidRPr="00F07D42">
        <w:rPr>
          <w:rFonts w:ascii="Times New Roman" w:hAnsi="Times New Roman"/>
          <w:sz w:val="24"/>
          <w:szCs w:val="24"/>
        </w:rPr>
        <w:t>qu’elles ont été contenues dans les limites des prévisions de crédits</w:t>
      </w:r>
      <w:r w:rsidR="00F5762D">
        <w:rPr>
          <w:rFonts w:ascii="Times New Roman" w:hAnsi="Times New Roman"/>
          <w:sz w:val="24"/>
          <w:szCs w:val="24"/>
        </w:rPr>
        <w:t>,</w:t>
      </w:r>
    </w:p>
    <w:p w14:paraId="01F6E11A" w14:textId="77777777" w:rsidR="00235509" w:rsidRPr="00F40034" w:rsidRDefault="00235509" w:rsidP="00F0199F">
      <w:pPr>
        <w:widowControl w:val="0"/>
        <w:ind w:right="-1"/>
        <w:jc w:val="both"/>
      </w:pPr>
    </w:p>
    <w:p w14:paraId="77264236" w14:textId="77777777" w:rsidR="00131AB4" w:rsidRPr="00191510" w:rsidRDefault="00131AB4" w:rsidP="00191510">
      <w:pPr>
        <w:pStyle w:val="Paragraphedeliste"/>
        <w:widowControl w:val="0"/>
        <w:numPr>
          <w:ilvl w:val="0"/>
          <w:numId w:val="36"/>
        </w:numPr>
        <w:spacing w:after="0" w:line="240" w:lineRule="auto"/>
        <w:ind w:left="284" w:hanging="284"/>
        <w:jc w:val="both"/>
        <w:rPr>
          <w:rFonts w:ascii="Times New Roman" w:hAnsi="Times New Roman"/>
          <w:b/>
          <w:sz w:val="24"/>
          <w:szCs w:val="24"/>
        </w:rPr>
      </w:pPr>
      <w:proofErr w:type="gramStart"/>
      <w:r w:rsidRPr="00191510">
        <w:rPr>
          <w:rFonts w:ascii="Times New Roman" w:hAnsi="Times New Roman"/>
          <w:b/>
          <w:sz w:val="24"/>
          <w:szCs w:val="24"/>
        </w:rPr>
        <w:t>taux</w:t>
      </w:r>
      <w:proofErr w:type="gramEnd"/>
      <w:r w:rsidRPr="00191510">
        <w:rPr>
          <w:rFonts w:ascii="Times New Roman" w:hAnsi="Times New Roman"/>
          <w:b/>
          <w:sz w:val="24"/>
          <w:szCs w:val="24"/>
        </w:rPr>
        <w:t xml:space="preserve"> d’autofinancement</w:t>
      </w:r>
      <w:r w:rsidR="00191510" w:rsidRPr="0072619F">
        <w:rPr>
          <w:rFonts w:ascii="Times New Roman" w:hAnsi="Times New Roman"/>
          <w:sz w:val="24"/>
          <w:szCs w:val="24"/>
        </w:rPr>
        <w:t> :</w:t>
      </w:r>
      <w:r w:rsidRPr="00191510">
        <w:rPr>
          <w:rFonts w:ascii="Times New Roman" w:hAnsi="Times New Roman"/>
          <w:b/>
          <w:sz w:val="24"/>
          <w:szCs w:val="24"/>
        </w:rPr>
        <w:t xml:space="preserve"> </w:t>
      </w:r>
      <w:r w:rsidR="0072619F" w:rsidRPr="00191510">
        <w:rPr>
          <w:rFonts w:ascii="Times New Roman" w:hAnsi="Times New Roman"/>
          <w:b/>
          <w:sz w:val="24"/>
          <w:szCs w:val="24"/>
        </w:rPr>
        <w:t>30,07%</w:t>
      </w:r>
      <w:r w:rsidR="0072619F" w:rsidRPr="0072619F">
        <w:rPr>
          <w:rFonts w:ascii="Times New Roman" w:hAnsi="Times New Roman"/>
          <w:sz w:val="24"/>
          <w:szCs w:val="24"/>
        </w:rPr>
        <w:t xml:space="preserve"> </w:t>
      </w:r>
      <w:r w:rsidR="00F21FBD" w:rsidRPr="00F21FBD">
        <w:rPr>
          <w:rFonts w:ascii="Times New Roman" w:hAnsi="Times New Roman"/>
          <w:b/>
          <w:sz w:val="24"/>
          <w:szCs w:val="24"/>
        </w:rPr>
        <w:t>(2,42% pour les FE et 62,64% pour les FNF)</w:t>
      </w:r>
      <w:r w:rsidR="00F21FBD">
        <w:rPr>
          <w:rFonts w:ascii="Times New Roman" w:hAnsi="Times New Roman"/>
          <w:sz w:val="24"/>
          <w:szCs w:val="24"/>
        </w:rPr>
        <w:t xml:space="preserve"> </w:t>
      </w:r>
      <w:r w:rsidR="0072619F">
        <w:rPr>
          <w:rFonts w:ascii="Times New Roman" w:hAnsi="Times New Roman"/>
          <w:sz w:val="24"/>
          <w:szCs w:val="24"/>
        </w:rPr>
        <w:t>contre</w:t>
      </w:r>
      <w:r w:rsidR="004D1E35" w:rsidRPr="0072619F">
        <w:rPr>
          <w:rFonts w:ascii="Times New Roman" w:hAnsi="Times New Roman"/>
          <w:sz w:val="24"/>
          <w:szCs w:val="24"/>
        </w:rPr>
        <w:t xml:space="preserve"> 24,95% en 2019 </w:t>
      </w:r>
      <w:r w:rsidR="0072619F">
        <w:rPr>
          <w:rFonts w:ascii="Times New Roman" w:hAnsi="Times New Roman"/>
          <w:sz w:val="24"/>
          <w:szCs w:val="24"/>
        </w:rPr>
        <w:t>et</w:t>
      </w:r>
      <w:r w:rsidR="004D1E35" w:rsidRPr="0072619F">
        <w:rPr>
          <w:rFonts w:ascii="Times New Roman" w:hAnsi="Times New Roman"/>
          <w:sz w:val="24"/>
          <w:szCs w:val="24"/>
        </w:rPr>
        <w:t xml:space="preserve"> 41,84% en 2018</w:t>
      </w:r>
      <w:r w:rsidR="008A796F">
        <w:rPr>
          <w:rFonts w:ascii="Times New Roman" w:hAnsi="Times New Roman"/>
          <w:sz w:val="24"/>
          <w:szCs w:val="24"/>
        </w:rPr>
        <w:t>,</w:t>
      </w:r>
    </w:p>
    <w:p w14:paraId="11C7126D" w14:textId="77777777" w:rsidR="00235509" w:rsidRPr="00F40034" w:rsidRDefault="00235509" w:rsidP="00F0199F">
      <w:pPr>
        <w:widowControl w:val="0"/>
        <w:ind w:right="-1"/>
        <w:jc w:val="both"/>
      </w:pPr>
    </w:p>
    <w:p w14:paraId="1D1A8CEF" w14:textId="77777777" w:rsidR="00984BEF" w:rsidRPr="00BF5394" w:rsidRDefault="00F86D37" w:rsidP="00BF5394">
      <w:pPr>
        <w:pStyle w:val="Paragraphedeliste"/>
        <w:widowControl w:val="0"/>
        <w:numPr>
          <w:ilvl w:val="0"/>
          <w:numId w:val="36"/>
        </w:numPr>
        <w:spacing w:after="0" w:line="240" w:lineRule="auto"/>
        <w:ind w:left="284" w:hanging="284"/>
        <w:jc w:val="both"/>
        <w:rPr>
          <w:rFonts w:ascii="Times New Roman" w:hAnsi="Times New Roman"/>
          <w:sz w:val="24"/>
          <w:szCs w:val="24"/>
          <w:lang w:eastAsia="fr-FR"/>
        </w:rPr>
      </w:pPr>
      <w:proofErr w:type="gramStart"/>
      <w:r w:rsidRPr="00776249">
        <w:rPr>
          <w:rFonts w:ascii="Times New Roman" w:hAnsi="Times New Roman"/>
          <w:b/>
          <w:sz w:val="24"/>
          <w:szCs w:val="24"/>
        </w:rPr>
        <w:t>dettes</w:t>
      </w:r>
      <w:proofErr w:type="gramEnd"/>
      <w:r w:rsidRPr="00776249">
        <w:rPr>
          <w:rFonts w:ascii="Times New Roman" w:hAnsi="Times New Roman"/>
          <w:b/>
          <w:sz w:val="24"/>
          <w:szCs w:val="24"/>
        </w:rPr>
        <w:t xml:space="preserve"> totales</w:t>
      </w:r>
      <w:r w:rsidR="00ED5475">
        <w:rPr>
          <w:rFonts w:ascii="Times New Roman" w:hAnsi="Times New Roman"/>
          <w:sz w:val="24"/>
          <w:szCs w:val="24"/>
        </w:rPr>
        <w:t xml:space="preserve"> (</w:t>
      </w:r>
      <w:r w:rsidR="00984BEF" w:rsidRPr="00F86D37">
        <w:rPr>
          <w:rFonts w:ascii="Times New Roman" w:hAnsi="Times New Roman"/>
          <w:sz w:val="24"/>
          <w:szCs w:val="24"/>
        </w:rPr>
        <w:t xml:space="preserve">constituées </w:t>
      </w:r>
      <w:r w:rsidR="00ED5475" w:rsidRPr="00F86D37">
        <w:rPr>
          <w:rFonts w:ascii="Times New Roman" w:hAnsi="Times New Roman"/>
          <w:sz w:val="24"/>
          <w:szCs w:val="24"/>
        </w:rPr>
        <w:t xml:space="preserve">essentiellement </w:t>
      </w:r>
      <w:r w:rsidR="00984BEF" w:rsidRPr="00F86D37">
        <w:rPr>
          <w:rFonts w:ascii="Times New Roman" w:hAnsi="Times New Roman"/>
          <w:sz w:val="24"/>
          <w:szCs w:val="24"/>
        </w:rPr>
        <w:t>des dettes fournisseurs (84,68%)</w:t>
      </w:r>
      <w:r w:rsidR="0069135A">
        <w:rPr>
          <w:rFonts w:ascii="Times New Roman" w:hAnsi="Times New Roman"/>
          <w:sz w:val="24"/>
          <w:szCs w:val="24"/>
        </w:rPr>
        <w:t xml:space="preserve"> et enregistrées principalement au niveau des FE</w:t>
      </w:r>
      <w:r w:rsidR="00ED5475">
        <w:rPr>
          <w:rFonts w:ascii="Times New Roman" w:hAnsi="Times New Roman"/>
          <w:sz w:val="24"/>
          <w:szCs w:val="24"/>
        </w:rPr>
        <w:t>) :</w:t>
      </w:r>
      <w:r w:rsidR="00984BEF" w:rsidRPr="00F86D37">
        <w:rPr>
          <w:rFonts w:ascii="Times New Roman" w:hAnsi="Times New Roman"/>
          <w:sz w:val="24"/>
          <w:szCs w:val="24"/>
        </w:rPr>
        <w:t xml:space="preserve"> </w:t>
      </w:r>
      <w:r w:rsidR="00984BEF" w:rsidRPr="00776249">
        <w:rPr>
          <w:rFonts w:ascii="Times New Roman" w:hAnsi="Times New Roman"/>
          <w:b/>
          <w:sz w:val="24"/>
          <w:szCs w:val="24"/>
        </w:rPr>
        <w:t>1,480 milliards de FCFA</w:t>
      </w:r>
      <w:r w:rsidR="00776249">
        <w:rPr>
          <w:rFonts w:ascii="Times New Roman" w:hAnsi="Times New Roman"/>
          <w:sz w:val="24"/>
          <w:szCs w:val="24"/>
        </w:rPr>
        <w:t>,</w:t>
      </w:r>
      <w:r w:rsidR="00BF5394">
        <w:rPr>
          <w:rFonts w:ascii="Times New Roman" w:hAnsi="Times New Roman"/>
          <w:sz w:val="24"/>
          <w:szCs w:val="24"/>
        </w:rPr>
        <w:t xml:space="preserve"> en accroissement entre 2019 et 2020, d’où la nécessité que les </w:t>
      </w:r>
      <w:r w:rsidR="00BF5394">
        <w:rPr>
          <w:rFonts w:ascii="Times New Roman" w:hAnsi="Times New Roman"/>
          <w:sz w:val="24"/>
          <w:szCs w:val="24"/>
          <w:lang w:eastAsia="fr-FR"/>
        </w:rPr>
        <w:t xml:space="preserve">FN </w:t>
      </w:r>
      <w:r w:rsidR="00BF5394" w:rsidRPr="00BF5394">
        <w:rPr>
          <w:rFonts w:ascii="Times New Roman" w:hAnsi="Times New Roman"/>
          <w:sz w:val="24"/>
          <w:szCs w:val="24"/>
          <w:lang w:eastAsia="fr-FR"/>
        </w:rPr>
        <w:t>déplo</w:t>
      </w:r>
      <w:r w:rsidR="00BF5394">
        <w:rPr>
          <w:rFonts w:ascii="Times New Roman" w:hAnsi="Times New Roman"/>
          <w:sz w:val="24"/>
          <w:szCs w:val="24"/>
          <w:lang w:eastAsia="fr-FR"/>
        </w:rPr>
        <w:t xml:space="preserve">ie </w:t>
      </w:r>
      <w:r w:rsidR="00984BEF" w:rsidRPr="00BF5394">
        <w:rPr>
          <w:rFonts w:ascii="Times New Roman" w:hAnsi="Times New Roman"/>
          <w:sz w:val="24"/>
          <w:szCs w:val="24"/>
          <w:lang w:eastAsia="fr-FR"/>
        </w:rPr>
        <w:t>des efforts en vue de l’apurement de leurs dettes</w:t>
      </w:r>
      <w:r w:rsidR="00BF5394">
        <w:rPr>
          <w:rFonts w:ascii="Times New Roman" w:hAnsi="Times New Roman"/>
          <w:sz w:val="24"/>
          <w:szCs w:val="24"/>
          <w:lang w:eastAsia="fr-FR"/>
        </w:rPr>
        <w:t>,</w:t>
      </w:r>
    </w:p>
    <w:p w14:paraId="1E9D5C2E" w14:textId="77777777" w:rsidR="00235509" w:rsidRPr="00F40034" w:rsidRDefault="00235509" w:rsidP="00F0199F">
      <w:pPr>
        <w:widowControl w:val="0"/>
        <w:ind w:right="-1"/>
        <w:jc w:val="both"/>
      </w:pPr>
    </w:p>
    <w:p w14:paraId="15E622C3" w14:textId="77777777" w:rsidR="00984BEF" w:rsidRPr="00F362C9" w:rsidRDefault="00F362C9" w:rsidP="00F362C9">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F362C9">
        <w:rPr>
          <w:rFonts w:ascii="Times New Roman" w:hAnsi="Times New Roman"/>
          <w:b/>
          <w:sz w:val="24"/>
          <w:szCs w:val="24"/>
        </w:rPr>
        <w:t>solde</w:t>
      </w:r>
      <w:proofErr w:type="gramEnd"/>
      <w:r w:rsidRPr="00F362C9">
        <w:rPr>
          <w:rFonts w:ascii="Times New Roman" w:hAnsi="Times New Roman"/>
          <w:b/>
          <w:sz w:val="24"/>
          <w:szCs w:val="24"/>
        </w:rPr>
        <w:t xml:space="preserve"> final de trésorerie</w:t>
      </w:r>
      <w:r>
        <w:rPr>
          <w:rFonts w:ascii="Times New Roman" w:hAnsi="Times New Roman"/>
          <w:sz w:val="24"/>
          <w:szCs w:val="24"/>
        </w:rPr>
        <w:t> :</w:t>
      </w:r>
      <w:r w:rsidRPr="00F362C9">
        <w:rPr>
          <w:rFonts w:ascii="Times New Roman" w:hAnsi="Times New Roman"/>
          <w:sz w:val="24"/>
          <w:szCs w:val="24"/>
        </w:rPr>
        <w:t xml:space="preserve"> </w:t>
      </w:r>
      <w:r w:rsidRPr="00F362C9">
        <w:rPr>
          <w:rFonts w:ascii="Times New Roman" w:hAnsi="Times New Roman"/>
          <w:b/>
          <w:sz w:val="24"/>
          <w:szCs w:val="24"/>
        </w:rPr>
        <w:t>104,865 milliards de FCFA</w:t>
      </w:r>
      <w:r w:rsidRPr="00F362C9">
        <w:rPr>
          <w:rFonts w:ascii="Times New Roman" w:hAnsi="Times New Roman"/>
          <w:sz w:val="24"/>
          <w:szCs w:val="24"/>
        </w:rPr>
        <w:t xml:space="preserve"> contre 136,259 milliards de FCFA en 2019</w:t>
      </w:r>
      <w:r>
        <w:rPr>
          <w:rFonts w:ascii="Times New Roman" w:hAnsi="Times New Roman"/>
          <w:sz w:val="24"/>
          <w:szCs w:val="24"/>
        </w:rPr>
        <w:t xml:space="preserve"> et </w:t>
      </w:r>
      <w:r w:rsidRPr="00F362C9">
        <w:rPr>
          <w:rFonts w:ascii="Times New Roman" w:hAnsi="Times New Roman"/>
          <w:sz w:val="24"/>
          <w:szCs w:val="24"/>
        </w:rPr>
        <w:t>171,859 milliards de FCFA en 2018</w:t>
      </w:r>
      <w:r w:rsidR="00984BEF" w:rsidRPr="00F362C9">
        <w:rPr>
          <w:rFonts w:ascii="Times New Roman" w:hAnsi="Times New Roman"/>
          <w:sz w:val="24"/>
          <w:szCs w:val="24"/>
        </w:rPr>
        <w:t>, soit une baisse de 23,04%</w:t>
      </w:r>
      <w:r>
        <w:rPr>
          <w:rFonts w:ascii="Times New Roman" w:hAnsi="Times New Roman"/>
          <w:sz w:val="24"/>
          <w:szCs w:val="24"/>
        </w:rPr>
        <w:t xml:space="preserve"> entre 2019 et 2020,</w:t>
      </w:r>
    </w:p>
    <w:p w14:paraId="38D04258" w14:textId="77777777" w:rsidR="00235509" w:rsidRPr="00F40034" w:rsidRDefault="00235509" w:rsidP="00F0199F">
      <w:pPr>
        <w:widowControl w:val="0"/>
        <w:ind w:right="-1"/>
        <w:jc w:val="both"/>
      </w:pPr>
    </w:p>
    <w:p w14:paraId="288E09F4" w14:textId="77777777" w:rsidR="00984BEF" w:rsidRPr="002E165D" w:rsidRDefault="002731C7" w:rsidP="002E165D">
      <w:pPr>
        <w:pStyle w:val="Paragraphedeliste"/>
        <w:widowControl w:val="0"/>
        <w:numPr>
          <w:ilvl w:val="0"/>
          <w:numId w:val="36"/>
        </w:numPr>
        <w:spacing w:after="0" w:line="240" w:lineRule="auto"/>
        <w:ind w:left="284" w:hanging="284"/>
        <w:jc w:val="both"/>
        <w:rPr>
          <w:rFonts w:ascii="Times New Roman" w:hAnsi="Times New Roman"/>
          <w:sz w:val="24"/>
          <w:szCs w:val="24"/>
        </w:rPr>
      </w:pPr>
      <w:proofErr w:type="gramStart"/>
      <w:r w:rsidRPr="002E165D">
        <w:rPr>
          <w:rFonts w:ascii="Times New Roman" w:hAnsi="Times New Roman"/>
          <w:b/>
          <w:sz w:val="24"/>
          <w:szCs w:val="24"/>
        </w:rPr>
        <w:t>taux</w:t>
      </w:r>
      <w:proofErr w:type="gramEnd"/>
      <w:r w:rsidRPr="002E165D">
        <w:rPr>
          <w:rFonts w:ascii="Times New Roman" w:hAnsi="Times New Roman"/>
          <w:b/>
          <w:sz w:val="24"/>
          <w:szCs w:val="24"/>
        </w:rPr>
        <w:t xml:space="preserve"> de couverture </w:t>
      </w:r>
      <w:r w:rsidR="007C189D" w:rsidRPr="002E165D">
        <w:rPr>
          <w:rFonts w:ascii="Times New Roman" w:hAnsi="Times New Roman"/>
          <w:b/>
          <w:sz w:val="24"/>
          <w:szCs w:val="24"/>
        </w:rPr>
        <w:t>des dettes par les soldes finaux de trésorerie</w:t>
      </w:r>
      <w:r w:rsidR="002E165D" w:rsidRPr="002E165D">
        <w:rPr>
          <w:rFonts w:ascii="Times New Roman" w:hAnsi="Times New Roman"/>
          <w:sz w:val="24"/>
          <w:szCs w:val="24"/>
        </w:rPr>
        <w:t> :</w:t>
      </w:r>
      <w:r w:rsidRPr="002E165D">
        <w:rPr>
          <w:rFonts w:ascii="Times New Roman" w:hAnsi="Times New Roman"/>
          <w:sz w:val="24"/>
          <w:szCs w:val="24"/>
        </w:rPr>
        <w:t xml:space="preserve"> </w:t>
      </w:r>
      <w:r w:rsidRPr="002E165D">
        <w:rPr>
          <w:rFonts w:ascii="Times New Roman" w:hAnsi="Times New Roman"/>
          <w:b/>
          <w:sz w:val="24"/>
          <w:szCs w:val="24"/>
        </w:rPr>
        <w:t>7082,59%</w:t>
      </w:r>
      <w:r w:rsidR="002E165D" w:rsidRPr="002E165D">
        <w:rPr>
          <w:rFonts w:ascii="Times New Roman" w:hAnsi="Times New Roman"/>
          <w:sz w:val="24"/>
          <w:szCs w:val="24"/>
        </w:rPr>
        <w:t>, soit une large couverture des dettes par les soldes de trésorerie.</w:t>
      </w:r>
    </w:p>
    <w:p w14:paraId="6C20A344" w14:textId="77777777" w:rsidR="00235509" w:rsidRPr="00F40034" w:rsidRDefault="00235509" w:rsidP="00F0199F">
      <w:pPr>
        <w:widowControl w:val="0"/>
        <w:ind w:right="-1"/>
        <w:jc w:val="both"/>
      </w:pPr>
    </w:p>
    <w:p w14:paraId="3B244870" w14:textId="77777777" w:rsidR="00AF670B" w:rsidRPr="00F40034" w:rsidRDefault="00AF670B" w:rsidP="00F0199F">
      <w:pPr>
        <w:widowControl w:val="0"/>
        <w:ind w:right="-1"/>
        <w:jc w:val="both"/>
        <w:rPr>
          <w:b/>
        </w:rPr>
      </w:pPr>
      <w:r w:rsidRPr="00F40034">
        <w:rPr>
          <w:b/>
        </w:rPr>
        <w:t xml:space="preserve">Excellence Monsieur le Premier </w:t>
      </w:r>
      <w:r w:rsidR="0071120E" w:rsidRPr="00F40034">
        <w:rPr>
          <w:b/>
        </w:rPr>
        <w:t>m</w:t>
      </w:r>
      <w:r w:rsidRPr="00F40034">
        <w:rPr>
          <w:b/>
        </w:rPr>
        <w:t>inistre</w:t>
      </w:r>
      <w:r w:rsidR="0071120E" w:rsidRPr="00F40034">
        <w:rPr>
          <w:b/>
        </w:rPr>
        <w:t>,</w:t>
      </w:r>
      <w:r w:rsidR="003D5A7A" w:rsidRPr="003D5A7A">
        <w:rPr>
          <w:b/>
        </w:rPr>
        <w:t xml:space="preserve"> </w:t>
      </w:r>
      <w:r w:rsidR="003D5A7A" w:rsidRPr="00F40034">
        <w:rPr>
          <w:b/>
        </w:rPr>
        <w:t>Président par délégation de l'AG/EPE,</w:t>
      </w:r>
    </w:p>
    <w:p w14:paraId="79FBB757" w14:textId="77777777" w:rsidR="00AF670B" w:rsidRPr="00F40034" w:rsidRDefault="00AF670B" w:rsidP="00F0199F">
      <w:pPr>
        <w:pStyle w:val="Corpsdetexte"/>
        <w:widowControl w:val="0"/>
        <w:ind w:right="-1"/>
        <w:jc w:val="both"/>
        <w:rPr>
          <w:b/>
          <w:szCs w:val="24"/>
        </w:rPr>
      </w:pPr>
      <w:r w:rsidRPr="00F40034">
        <w:rPr>
          <w:b/>
          <w:bCs/>
          <w:szCs w:val="24"/>
        </w:rPr>
        <w:t xml:space="preserve">Mesdames et Messieurs les </w:t>
      </w:r>
      <w:r w:rsidR="0071120E" w:rsidRPr="00F40034">
        <w:rPr>
          <w:b/>
          <w:bCs/>
          <w:szCs w:val="24"/>
        </w:rPr>
        <w:t>m</w:t>
      </w:r>
      <w:r w:rsidRPr="00F40034">
        <w:rPr>
          <w:b/>
          <w:bCs/>
          <w:szCs w:val="24"/>
        </w:rPr>
        <w:t>embres du Gouvernement</w:t>
      </w:r>
      <w:r w:rsidR="0071120E" w:rsidRPr="00F40034">
        <w:rPr>
          <w:b/>
          <w:bCs/>
          <w:szCs w:val="24"/>
        </w:rPr>
        <w:t>,</w:t>
      </w:r>
    </w:p>
    <w:p w14:paraId="48B58FD2" w14:textId="77777777" w:rsidR="00AF670B" w:rsidRPr="00F40034" w:rsidRDefault="0071120E" w:rsidP="00F0199F">
      <w:pPr>
        <w:widowControl w:val="0"/>
        <w:tabs>
          <w:tab w:val="left" w:pos="567"/>
        </w:tabs>
        <w:ind w:right="-1"/>
        <w:jc w:val="both"/>
        <w:rPr>
          <w:b/>
        </w:rPr>
      </w:pPr>
      <w:r w:rsidRPr="00F40034">
        <w:rPr>
          <w:b/>
          <w:bCs/>
        </w:rPr>
        <w:t>Mesdames et Messieurs,</w:t>
      </w:r>
    </w:p>
    <w:p w14:paraId="785B5802" w14:textId="77777777" w:rsidR="00235509" w:rsidRDefault="00235509" w:rsidP="00F0199F">
      <w:pPr>
        <w:widowControl w:val="0"/>
        <w:ind w:right="-1"/>
        <w:jc w:val="both"/>
      </w:pPr>
    </w:p>
    <w:p w14:paraId="634C3411" w14:textId="77777777" w:rsidR="004413CD" w:rsidRDefault="00F40034" w:rsidP="00F0199F">
      <w:pPr>
        <w:widowControl w:val="0"/>
        <w:ind w:right="-1"/>
        <w:jc w:val="both"/>
      </w:pPr>
      <w:r w:rsidRPr="00F40034">
        <w:t>En conclusion</w:t>
      </w:r>
      <w:r w:rsidR="002F75C4" w:rsidRPr="00F40034">
        <w:t>, l</w:t>
      </w:r>
      <w:r w:rsidR="00AF670B" w:rsidRPr="00F40034">
        <w:t xml:space="preserve">e </w:t>
      </w:r>
      <w:r w:rsidR="00196B40">
        <w:t>S</w:t>
      </w:r>
      <w:r w:rsidR="00AF670B" w:rsidRPr="00F40034">
        <w:t>ecrétariat propose</w:t>
      </w:r>
      <w:r w:rsidR="004413CD">
        <w:t> :</w:t>
      </w:r>
    </w:p>
    <w:p w14:paraId="7D766D61" w14:textId="77777777" w:rsidR="004413CD" w:rsidRDefault="004413CD" w:rsidP="00F0199F">
      <w:pPr>
        <w:widowControl w:val="0"/>
        <w:ind w:right="-1"/>
        <w:jc w:val="both"/>
      </w:pPr>
    </w:p>
    <w:p w14:paraId="434F1015" w14:textId="77777777" w:rsidR="004413CD" w:rsidRDefault="006F0F07" w:rsidP="004413CD">
      <w:pPr>
        <w:pStyle w:val="Paragraphedeliste"/>
        <w:widowControl w:val="0"/>
        <w:numPr>
          <w:ilvl w:val="0"/>
          <w:numId w:val="37"/>
        </w:numPr>
        <w:spacing w:after="0" w:line="240" w:lineRule="auto"/>
        <w:ind w:left="425" w:hanging="425"/>
        <w:jc w:val="both"/>
        <w:rPr>
          <w:rFonts w:ascii="Times New Roman" w:hAnsi="Times New Roman"/>
          <w:sz w:val="24"/>
          <w:szCs w:val="24"/>
        </w:rPr>
      </w:pPr>
      <w:proofErr w:type="gramStart"/>
      <w:r>
        <w:rPr>
          <w:rFonts w:ascii="Times New Roman" w:hAnsi="Times New Roman"/>
          <w:sz w:val="24"/>
          <w:szCs w:val="24"/>
        </w:rPr>
        <w:t>d</w:t>
      </w:r>
      <w:r w:rsidR="00AF670B" w:rsidRPr="004413CD">
        <w:rPr>
          <w:rFonts w:ascii="Times New Roman" w:hAnsi="Times New Roman"/>
          <w:sz w:val="24"/>
          <w:szCs w:val="24"/>
        </w:rPr>
        <w:t>’adopt</w:t>
      </w:r>
      <w:r w:rsidR="00573468">
        <w:rPr>
          <w:rFonts w:ascii="Times New Roman" w:hAnsi="Times New Roman"/>
          <w:sz w:val="24"/>
          <w:szCs w:val="24"/>
        </w:rPr>
        <w:t>er</w:t>
      </w:r>
      <w:proofErr w:type="gramEnd"/>
      <w:r w:rsidR="00573468">
        <w:rPr>
          <w:rFonts w:ascii="Times New Roman" w:hAnsi="Times New Roman"/>
          <w:sz w:val="24"/>
          <w:szCs w:val="24"/>
        </w:rPr>
        <w:t xml:space="preserve"> l</w:t>
      </w:r>
      <w:r w:rsidR="00AF670B" w:rsidRPr="004413CD">
        <w:rPr>
          <w:rFonts w:ascii="Times New Roman" w:hAnsi="Times New Roman"/>
          <w:sz w:val="24"/>
          <w:szCs w:val="24"/>
        </w:rPr>
        <w:t>es rapports de gestion de l’exercice 20</w:t>
      </w:r>
      <w:r w:rsidR="00020A2A" w:rsidRPr="004413CD">
        <w:rPr>
          <w:rFonts w:ascii="Times New Roman" w:hAnsi="Times New Roman"/>
          <w:sz w:val="24"/>
          <w:szCs w:val="24"/>
        </w:rPr>
        <w:t>20</w:t>
      </w:r>
      <w:r w:rsidR="00AF670B" w:rsidRPr="004413CD">
        <w:rPr>
          <w:rFonts w:ascii="Times New Roman" w:hAnsi="Times New Roman"/>
          <w:sz w:val="24"/>
          <w:szCs w:val="24"/>
        </w:rPr>
        <w:t xml:space="preserve"> des </w:t>
      </w:r>
      <w:r w:rsidR="004413CD" w:rsidRPr="004413CD">
        <w:rPr>
          <w:rFonts w:ascii="Times New Roman" w:hAnsi="Times New Roman"/>
          <w:sz w:val="24"/>
          <w:szCs w:val="24"/>
        </w:rPr>
        <w:t>CA</w:t>
      </w:r>
      <w:r w:rsidR="00AF670B" w:rsidRPr="004413CD">
        <w:rPr>
          <w:rFonts w:ascii="Times New Roman" w:hAnsi="Times New Roman"/>
          <w:sz w:val="24"/>
          <w:szCs w:val="24"/>
        </w:rPr>
        <w:t xml:space="preserve"> et </w:t>
      </w:r>
      <w:r w:rsidR="00573468">
        <w:rPr>
          <w:rFonts w:ascii="Times New Roman" w:hAnsi="Times New Roman"/>
          <w:sz w:val="24"/>
          <w:szCs w:val="24"/>
        </w:rPr>
        <w:t>d</w:t>
      </w:r>
      <w:r w:rsidR="00AF670B" w:rsidRPr="004413CD">
        <w:rPr>
          <w:rFonts w:ascii="Times New Roman" w:hAnsi="Times New Roman"/>
          <w:sz w:val="24"/>
          <w:szCs w:val="24"/>
        </w:rPr>
        <w:t>’appr</w:t>
      </w:r>
      <w:r w:rsidR="00573468">
        <w:rPr>
          <w:rFonts w:ascii="Times New Roman" w:hAnsi="Times New Roman"/>
          <w:sz w:val="24"/>
          <w:szCs w:val="24"/>
        </w:rPr>
        <w:t>ouver l</w:t>
      </w:r>
      <w:r w:rsidR="00AF670B" w:rsidRPr="004413CD">
        <w:rPr>
          <w:rFonts w:ascii="Times New Roman" w:hAnsi="Times New Roman"/>
          <w:sz w:val="24"/>
          <w:szCs w:val="24"/>
        </w:rPr>
        <w:t>es états financiers présentés par les 1</w:t>
      </w:r>
      <w:r w:rsidR="00020A2A" w:rsidRPr="004413CD">
        <w:rPr>
          <w:rFonts w:ascii="Times New Roman" w:hAnsi="Times New Roman"/>
          <w:sz w:val="24"/>
          <w:szCs w:val="24"/>
        </w:rPr>
        <w:t>12</w:t>
      </w:r>
      <w:r w:rsidR="00AF670B" w:rsidRPr="004413CD">
        <w:rPr>
          <w:rFonts w:ascii="Times New Roman" w:hAnsi="Times New Roman"/>
          <w:sz w:val="24"/>
          <w:szCs w:val="24"/>
        </w:rPr>
        <w:t xml:space="preserve"> EPE</w:t>
      </w:r>
      <w:r w:rsidR="004413CD">
        <w:rPr>
          <w:rFonts w:ascii="Times New Roman" w:hAnsi="Times New Roman"/>
          <w:sz w:val="24"/>
          <w:szCs w:val="24"/>
        </w:rPr>
        <w:t>,</w:t>
      </w:r>
    </w:p>
    <w:p w14:paraId="4B28DA8F" w14:textId="77777777" w:rsidR="007B70B7" w:rsidRDefault="007B70B7" w:rsidP="007B70B7">
      <w:pPr>
        <w:widowControl w:val="0"/>
        <w:ind w:right="-1"/>
        <w:jc w:val="both"/>
      </w:pPr>
    </w:p>
    <w:p w14:paraId="79556D1F" w14:textId="77777777" w:rsidR="004413CD" w:rsidRDefault="00353F5D" w:rsidP="004413CD">
      <w:pPr>
        <w:pStyle w:val="Paragraphedeliste"/>
        <w:widowControl w:val="0"/>
        <w:numPr>
          <w:ilvl w:val="0"/>
          <w:numId w:val="37"/>
        </w:numPr>
        <w:spacing w:after="0" w:line="240" w:lineRule="auto"/>
        <w:ind w:left="425" w:hanging="425"/>
        <w:jc w:val="both"/>
        <w:rPr>
          <w:rFonts w:ascii="Times New Roman" w:hAnsi="Times New Roman"/>
          <w:sz w:val="24"/>
          <w:szCs w:val="24"/>
        </w:rPr>
      </w:pPr>
      <w:proofErr w:type="gramStart"/>
      <w:r w:rsidRPr="004413CD">
        <w:rPr>
          <w:rFonts w:ascii="Times New Roman" w:hAnsi="Times New Roman"/>
          <w:sz w:val="24"/>
          <w:szCs w:val="24"/>
        </w:rPr>
        <w:t>de</w:t>
      </w:r>
      <w:proofErr w:type="gramEnd"/>
      <w:r w:rsidRPr="004413CD">
        <w:rPr>
          <w:rFonts w:ascii="Times New Roman" w:hAnsi="Times New Roman"/>
          <w:sz w:val="24"/>
          <w:szCs w:val="24"/>
        </w:rPr>
        <w:t xml:space="preserve"> </w:t>
      </w:r>
      <w:r w:rsidR="00AF670B" w:rsidRPr="004413CD">
        <w:rPr>
          <w:rFonts w:ascii="Times New Roman" w:hAnsi="Times New Roman"/>
          <w:sz w:val="24"/>
          <w:szCs w:val="24"/>
        </w:rPr>
        <w:t xml:space="preserve">pendre acte des rapports d’explication tels que présentés par </w:t>
      </w:r>
      <w:r w:rsidR="004413CD" w:rsidRPr="004413CD">
        <w:rPr>
          <w:rFonts w:ascii="Times New Roman" w:hAnsi="Times New Roman"/>
          <w:sz w:val="24"/>
          <w:szCs w:val="24"/>
        </w:rPr>
        <w:t xml:space="preserve">l’ENSK, </w:t>
      </w:r>
      <w:r w:rsidR="004413CD">
        <w:rPr>
          <w:rFonts w:ascii="Times New Roman" w:hAnsi="Times New Roman"/>
          <w:sz w:val="24"/>
          <w:szCs w:val="24"/>
        </w:rPr>
        <w:t xml:space="preserve">le </w:t>
      </w:r>
      <w:r w:rsidR="004413CD" w:rsidRPr="004413CD">
        <w:rPr>
          <w:rFonts w:ascii="Times New Roman" w:hAnsi="Times New Roman"/>
          <w:sz w:val="24"/>
          <w:szCs w:val="24"/>
        </w:rPr>
        <w:t xml:space="preserve">FONAFI </w:t>
      </w:r>
      <w:r w:rsidR="004413CD">
        <w:rPr>
          <w:rFonts w:ascii="Times New Roman" w:hAnsi="Times New Roman"/>
          <w:sz w:val="24"/>
          <w:szCs w:val="24"/>
        </w:rPr>
        <w:t xml:space="preserve">le FSR-B </w:t>
      </w:r>
      <w:r w:rsidR="004413CD" w:rsidRPr="004413CD">
        <w:rPr>
          <w:rFonts w:ascii="Times New Roman" w:hAnsi="Times New Roman"/>
          <w:sz w:val="24"/>
          <w:szCs w:val="24"/>
        </w:rPr>
        <w:t>et l’UV-BF</w:t>
      </w:r>
      <w:r w:rsidR="003F2118" w:rsidRPr="004413CD">
        <w:rPr>
          <w:rFonts w:ascii="Times New Roman" w:hAnsi="Times New Roman"/>
          <w:sz w:val="24"/>
          <w:szCs w:val="24"/>
        </w:rPr>
        <w:t>,</w:t>
      </w:r>
    </w:p>
    <w:p w14:paraId="5D4841E9" w14:textId="77777777" w:rsidR="007B70B7" w:rsidRDefault="007B70B7" w:rsidP="007B70B7">
      <w:pPr>
        <w:widowControl w:val="0"/>
        <w:ind w:right="-1"/>
        <w:jc w:val="both"/>
      </w:pPr>
    </w:p>
    <w:p w14:paraId="38156707" w14:textId="77777777" w:rsidR="004413CD" w:rsidRDefault="00AF670B" w:rsidP="004413CD">
      <w:pPr>
        <w:pStyle w:val="Paragraphedeliste"/>
        <w:widowControl w:val="0"/>
        <w:numPr>
          <w:ilvl w:val="0"/>
          <w:numId w:val="37"/>
        </w:numPr>
        <w:spacing w:after="0" w:line="240" w:lineRule="auto"/>
        <w:ind w:left="425" w:hanging="425"/>
        <w:jc w:val="both"/>
        <w:rPr>
          <w:rFonts w:ascii="Times New Roman" w:hAnsi="Times New Roman"/>
          <w:sz w:val="24"/>
          <w:szCs w:val="24"/>
        </w:rPr>
      </w:pPr>
      <w:proofErr w:type="gramStart"/>
      <w:r w:rsidRPr="004413CD">
        <w:rPr>
          <w:rFonts w:ascii="Times New Roman" w:hAnsi="Times New Roman"/>
          <w:sz w:val="24"/>
          <w:szCs w:val="24"/>
        </w:rPr>
        <w:t>d’inviter</w:t>
      </w:r>
      <w:proofErr w:type="gramEnd"/>
      <w:r w:rsidRPr="004413CD">
        <w:rPr>
          <w:rFonts w:ascii="Times New Roman" w:hAnsi="Times New Roman"/>
          <w:sz w:val="24"/>
          <w:szCs w:val="24"/>
        </w:rPr>
        <w:t xml:space="preserve"> le</w:t>
      </w:r>
      <w:r w:rsidR="00353F5D" w:rsidRPr="004413CD">
        <w:rPr>
          <w:rFonts w:ascii="Times New Roman" w:hAnsi="Times New Roman"/>
          <w:sz w:val="24"/>
          <w:szCs w:val="24"/>
        </w:rPr>
        <w:t>s</w:t>
      </w:r>
      <w:r w:rsidRPr="004413CD">
        <w:rPr>
          <w:rFonts w:ascii="Times New Roman" w:hAnsi="Times New Roman"/>
          <w:sz w:val="24"/>
          <w:szCs w:val="24"/>
        </w:rPr>
        <w:t xml:space="preserve"> </w:t>
      </w:r>
      <w:r w:rsidR="004413CD">
        <w:rPr>
          <w:rFonts w:ascii="Times New Roman" w:hAnsi="Times New Roman"/>
          <w:sz w:val="24"/>
          <w:szCs w:val="24"/>
        </w:rPr>
        <w:t>CA</w:t>
      </w:r>
      <w:r w:rsidRPr="004413CD">
        <w:rPr>
          <w:rFonts w:ascii="Times New Roman" w:hAnsi="Times New Roman"/>
          <w:sz w:val="24"/>
          <w:szCs w:val="24"/>
        </w:rPr>
        <w:t xml:space="preserve"> </w:t>
      </w:r>
      <w:r w:rsidR="003F2118" w:rsidRPr="004413CD">
        <w:rPr>
          <w:rFonts w:ascii="Times New Roman" w:hAnsi="Times New Roman"/>
          <w:sz w:val="24"/>
          <w:szCs w:val="24"/>
        </w:rPr>
        <w:t>respectifs de l’ENSK, d</w:t>
      </w:r>
      <w:r w:rsidR="004413CD">
        <w:rPr>
          <w:rFonts w:ascii="Times New Roman" w:hAnsi="Times New Roman"/>
          <w:sz w:val="24"/>
          <w:szCs w:val="24"/>
        </w:rPr>
        <w:t>u</w:t>
      </w:r>
      <w:r w:rsidR="003F2118" w:rsidRPr="004413CD">
        <w:rPr>
          <w:rFonts w:ascii="Times New Roman" w:hAnsi="Times New Roman"/>
          <w:sz w:val="24"/>
          <w:szCs w:val="24"/>
        </w:rPr>
        <w:t xml:space="preserve"> FONAFI et de l’UV-BF </w:t>
      </w:r>
      <w:r w:rsidRPr="004413CD">
        <w:rPr>
          <w:rFonts w:ascii="Times New Roman" w:hAnsi="Times New Roman"/>
          <w:sz w:val="24"/>
          <w:szCs w:val="24"/>
        </w:rPr>
        <w:t xml:space="preserve">à présenter leurs </w:t>
      </w:r>
      <w:r w:rsidR="003F2118" w:rsidRPr="004413CD">
        <w:rPr>
          <w:rFonts w:ascii="Times New Roman" w:hAnsi="Times New Roman"/>
          <w:sz w:val="24"/>
          <w:szCs w:val="24"/>
        </w:rPr>
        <w:t>é</w:t>
      </w:r>
      <w:r w:rsidRPr="004413CD">
        <w:rPr>
          <w:rFonts w:ascii="Times New Roman" w:hAnsi="Times New Roman"/>
          <w:sz w:val="24"/>
          <w:szCs w:val="24"/>
        </w:rPr>
        <w:t>tats financiers et rapports de gestion à la 2</w:t>
      </w:r>
      <w:r w:rsidR="003F2118" w:rsidRPr="004413CD">
        <w:rPr>
          <w:rFonts w:ascii="Times New Roman" w:hAnsi="Times New Roman"/>
          <w:sz w:val="24"/>
          <w:szCs w:val="24"/>
        </w:rPr>
        <w:t>3</w:t>
      </w:r>
      <w:r w:rsidR="004413CD">
        <w:rPr>
          <w:rFonts w:ascii="Times New Roman" w:hAnsi="Times New Roman"/>
          <w:sz w:val="24"/>
          <w:szCs w:val="24"/>
        </w:rPr>
        <w:t>e</w:t>
      </w:r>
      <w:r w:rsidR="003F2118" w:rsidRPr="004413CD">
        <w:rPr>
          <w:rFonts w:ascii="Times New Roman" w:hAnsi="Times New Roman"/>
          <w:sz w:val="24"/>
          <w:szCs w:val="24"/>
        </w:rPr>
        <w:t xml:space="preserve"> </w:t>
      </w:r>
      <w:r w:rsidRPr="004413CD">
        <w:rPr>
          <w:rFonts w:ascii="Times New Roman" w:hAnsi="Times New Roman"/>
          <w:sz w:val="24"/>
          <w:szCs w:val="24"/>
        </w:rPr>
        <w:t>session de l’AG/EPE</w:t>
      </w:r>
      <w:r w:rsidR="004413CD">
        <w:rPr>
          <w:rFonts w:ascii="Times New Roman" w:hAnsi="Times New Roman"/>
          <w:sz w:val="24"/>
          <w:szCs w:val="24"/>
        </w:rPr>
        <w:t>,</w:t>
      </w:r>
    </w:p>
    <w:p w14:paraId="281E5A26" w14:textId="77777777" w:rsidR="007B70B7" w:rsidRDefault="007B70B7" w:rsidP="007B70B7">
      <w:pPr>
        <w:widowControl w:val="0"/>
        <w:ind w:right="-1"/>
        <w:jc w:val="both"/>
      </w:pPr>
    </w:p>
    <w:p w14:paraId="2F753F25" w14:textId="77777777" w:rsidR="00AF670B" w:rsidRPr="004413CD" w:rsidRDefault="003F2118" w:rsidP="004413CD">
      <w:pPr>
        <w:pStyle w:val="Paragraphedeliste"/>
        <w:widowControl w:val="0"/>
        <w:numPr>
          <w:ilvl w:val="0"/>
          <w:numId w:val="37"/>
        </w:numPr>
        <w:spacing w:after="0" w:line="240" w:lineRule="auto"/>
        <w:ind w:left="425" w:hanging="425"/>
        <w:jc w:val="both"/>
        <w:rPr>
          <w:rFonts w:ascii="Times New Roman" w:hAnsi="Times New Roman"/>
          <w:sz w:val="24"/>
          <w:szCs w:val="24"/>
        </w:rPr>
      </w:pPr>
      <w:proofErr w:type="gramStart"/>
      <w:r w:rsidRPr="004413CD">
        <w:rPr>
          <w:rFonts w:ascii="Times New Roman" w:hAnsi="Times New Roman"/>
          <w:sz w:val="24"/>
          <w:szCs w:val="24"/>
        </w:rPr>
        <w:t>d’enjoindre</w:t>
      </w:r>
      <w:proofErr w:type="gramEnd"/>
      <w:r w:rsidRPr="004413CD">
        <w:rPr>
          <w:rFonts w:ascii="Times New Roman" w:hAnsi="Times New Roman"/>
          <w:sz w:val="24"/>
          <w:szCs w:val="24"/>
        </w:rPr>
        <w:t xml:space="preserve"> fermement le FSR-B </w:t>
      </w:r>
      <w:r w:rsidR="004413CD">
        <w:rPr>
          <w:rFonts w:ascii="Times New Roman" w:hAnsi="Times New Roman"/>
          <w:sz w:val="24"/>
          <w:szCs w:val="24"/>
        </w:rPr>
        <w:t>à</w:t>
      </w:r>
      <w:r w:rsidRPr="004413CD">
        <w:rPr>
          <w:rFonts w:ascii="Times New Roman" w:hAnsi="Times New Roman"/>
          <w:sz w:val="24"/>
          <w:szCs w:val="24"/>
        </w:rPr>
        <w:t xml:space="preserve"> mettre à jour sa comptabilité et </w:t>
      </w:r>
      <w:r w:rsidR="004413CD">
        <w:rPr>
          <w:rFonts w:ascii="Times New Roman" w:hAnsi="Times New Roman"/>
          <w:sz w:val="24"/>
          <w:szCs w:val="24"/>
        </w:rPr>
        <w:t>à</w:t>
      </w:r>
      <w:r w:rsidRPr="004413CD">
        <w:rPr>
          <w:rFonts w:ascii="Times New Roman" w:hAnsi="Times New Roman"/>
          <w:sz w:val="24"/>
          <w:szCs w:val="24"/>
        </w:rPr>
        <w:t xml:space="preserve"> présenter ses états financiers en bonne et due forme à la </w:t>
      </w:r>
      <w:r w:rsidR="004413CD" w:rsidRPr="004413CD">
        <w:rPr>
          <w:rFonts w:ascii="Times New Roman" w:hAnsi="Times New Roman"/>
          <w:sz w:val="24"/>
          <w:szCs w:val="24"/>
        </w:rPr>
        <w:t>23</w:t>
      </w:r>
      <w:r w:rsidR="004413CD">
        <w:rPr>
          <w:rFonts w:ascii="Times New Roman" w:hAnsi="Times New Roman"/>
          <w:sz w:val="24"/>
          <w:szCs w:val="24"/>
        </w:rPr>
        <w:t>e</w:t>
      </w:r>
      <w:r w:rsidR="004413CD" w:rsidRPr="004413CD">
        <w:rPr>
          <w:rFonts w:ascii="Times New Roman" w:hAnsi="Times New Roman"/>
          <w:sz w:val="24"/>
          <w:szCs w:val="24"/>
        </w:rPr>
        <w:t xml:space="preserve"> session de l’AG/EPE</w:t>
      </w:r>
      <w:r w:rsidR="00AF670B" w:rsidRPr="004413CD">
        <w:rPr>
          <w:rFonts w:ascii="Times New Roman" w:hAnsi="Times New Roman"/>
          <w:sz w:val="24"/>
          <w:szCs w:val="24"/>
        </w:rPr>
        <w:t>.</w:t>
      </w:r>
    </w:p>
    <w:p w14:paraId="40043207" w14:textId="77777777" w:rsidR="00235509" w:rsidRPr="00F40034" w:rsidRDefault="00235509" w:rsidP="00F0199F">
      <w:pPr>
        <w:widowControl w:val="0"/>
        <w:ind w:right="-1"/>
        <w:jc w:val="both"/>
      </w:pPr>
    </w:p>
    <w:p w14:paraId="7C000A3C" w14:textId="77777777" w:rsidR="00AF670B" w:rsidRDefault="00AF670B" w:rsidP="00F0199F">
      <w:pPr>
        <w:widowControl w:val="0"/>
        <w:ind w:right="-1"/>
        <w:jc w:val="both"/>
      </w:pPr>
      <w:r w:rsidRPr="00F40034">
        <w:t>Tel</w:t>
      </w:r>
      <w:r w:rsidR="00994F54">
        <w:t>le</w:t>
      </w:r>
      <w:r w:rsidRPr="00F40034">
        <w:t xml:space="preserve"> est l</w:t>
      </w:r>
      <w:r w:rsidR="00FF0119">
        <w:t xml:space="preserve">a </w:t>
      </w:r>
      <w:r w:rsidR="000D60AA">
        <w:t xml:space="preserve">présentation </w:t>
      </w:r>
      <w:r w:rsidR="00FF0119">
        <w:t>du</w:t>
      </w:r>
      <w:r w:rsidRPr="00F40034">
        <w:t xml:space="preserve"> </w:t>
      </w:r>
      <w:r w:rsidR="000D60AA" w:rsidRPr="000D60AA">
        <w:rPr>
          <w:i/>
        </w:rPr>
        <w:t>R</w:t>
      </w:r>
      <w:r w:rsidR="00486B63" w:rsidRPr="000D60AA">
        <w:rPr>
          <w:i/>
        </w:rPr>
        <w:t>apport</w:t>
      </w:r>
      <w:r w:rsidRPr="000D60AA">
        <w:rPr>
          <w:i/>
        </w:rPr>
        <w:t xml:space="preserve"> </w:t>
      </w:r>
      <w:r w:rsidR="000D60AA" w:rsidRPr="000D60AA">
        <w:rPr>
          <w:i/>
        </w:rPr>
        <w:t xml:space="preserve">du Secrétariat </w:t>
      </w:r>
      <w:r w:rsidR="00DF5723">
        <w:rPr>
          <w:i/>
        </w:rPr>
        <w:t xml:space="preserve">de l’AG/EPE </w:t>
      </w:r>
      <w:r w:rsidRPr="000D60AA">
        <w:rPr>
          <w:i/>
        </w:rPr>
        <w:t>sur la gestion des EPE</w:t>
      </w:r>
      <w:r w:rsidR="00DF5723">
        <w:rPr>
          <w:i/>
        </w:rPr>
        <w:t xml:space="preserve">, </w:t>
      </w:r>
      <w:r w:rsidRPr="000D60AA">
        <w:rPr>
          <w:i/>
        </w:rPr>
        <w:t>exercice 20</w:t>
      </w:r>
      <w:r w:rsidR="00020A2A" w:rsidRPr="000D60AA">
        <w:rPr>
          <w:i/>
        </w:rPr>
        <w:t>20</w:t>
      </w:r>
      <w:r w:rsidR="00DF5723">
        <w:t>,</w:t>
      </w:r>
      <w:r w:rsidRPr="00F40034">
        <w:t xml:space="preserve"> </w:t>
      </w:r>
      <w:r w:rsidR="000D60AA">
        <w:t>que j’ai eu l’honneur de porter à votre attention</w:t>
      </w:r>
      <w:r w:rsidRPr="00F40034">
        <w:t>.</w:t>
      </w:r>
    </w:p>
    <w:p w14:paraId="28959BE1" w14:textId="77777777" w:rsidR="00235509" w:rsidRPr="00F40034" w:rsidRDefault="00235509" w:rsidP="00F0199F">
      <w:pPr>
        <w:widowControl w:val="0"/>
        <w:ind w:right="-1"/>
        <w:jc w:val="both"/>
      </w:pPr>
    </w:p>
    <w:p w14:paraId="0E89D8CA" w14:textId="77777777" w:rsidR="00F6603C" w:rsidRPr="00F40034" w:rsidRDefault="00F6603C" w:rsidP="00F0199F">
      <w:pPr>
        <w:widowControl w:val="0"/>
        <w:ind w:right="-1"/>
        <w:jc w:val="both"/>
        <w:rPr>
          <w:b/>
        </w:rPr>
      </w:pPr>
      <w:r w:rsidRPr="00F40034">
        <w:rPr>
          <w:b/>
        </w:rPr>
        <w:t>Je vous remercie.</w:t>
      </w:r>
    </w:p>
    <w:sectPr w:rsidR="00F6603C" w:rsidRPr="00F40034" w:rsidSect="002B3B06">
      <w:headerReference w:type="even" r:id="rId8"/>
      <w:footerReference w:type="even" r:id="rId9"/>
      <w:footerReference w:type="default" r:id="rId10"/>
      <w:pgSz w:w="11906" w:h="16838"/>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5FC0" w14:textId="77777777" w:rsidR="00235FC2" w:rsidRDefault="00235FC2">
      <w:r>
        <w:separator/>
      </w:r>
    </w:p>
  </w:endnote>
  <w:endnote w:type="continuationSeparator" w:id="0">
    <w:p w14:paraId="172F058C" w14:textId="77777777" w:rsidR="00235FC2" w:rsidRDefault="0023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19A1" w14:textId="77777777" w:rsidR="00B0062D" w:rsidRDefault="00B0062D" w:rsidP="005C49D2">
    <w:pPr>
      <w:pStyle w:val="Pieddepage"/>
      <w:framePr w:wrap="around" w:vAnchor="text" w:hAnchor="margin" w:xAlign="center" w:y="1"/>
    </w:pPr>
    <w:r>
      <w:fldChar w:fldCharType="begin"/>
    </w:r>
    <w:r>
      <w:instrText xml:space="preserve">PAGE  </w:instrText>
    </w:r>
    <w:r>
      <w:fldChar w:fldCharType="separate"/>
    </w:r>
    <w:r>
      <w:rPr>
        <w:noProof/>
      </w:rPr>
      <w:t>33</w:t>
    </w:r>
    <w:r>
      <w:fldChar w:fldCharType="end"/>
    </w:r>
  </w:p>
  <w:p w14:paraId="01771314" w14:textId="77777777" w:rsidR="00B0062D" w:rsidRDefault="00B0062D">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779218"/>
      <w:docPartObj>
        <w:docPartGallery w:val="Page Numbers (Bottom of Page)"/>
        <w:docPartUnique/>
      </w:docPartObj>
    </w:sdtPr>
    <w:sdtEndPr/>
    <w:sdtContent>
      <w:p w14:paraId="000D485E" w14:textId="77777777" w:rsidR="00B0062D" w:rsidRPr="00A940C7" w:rsidRDefault="00B0062D" w:rsidP="00A940C7">
        <w:pPr>
          <w:pStyle w:val="Pieddepage"/>
          <w:pBdr>
            <w:top w:val="single" w:sz="4" w:space="1" w:color="auto"/>
          </w:pBdr>
          <w:jc w:val="center"/>
        </w:pPr>
        <w:r w:rsidRPr="00E65E95">
          <w:rPr>
            <w:b/>
            <w:i/>
            <w:sz w:val="20"/>
            <w:szCs w:val="20"/>
          </w:rPr>
          <w:t>AG-EPE 2021 / Rapport du Secrétariat</w:t>
        </w:r>
        <w:r>
          <w:rPr>
            <w:b/>
            <w:i/>
            <w:sz w:val="20"/>
            <w:szCs w:val="20"/>
          </w:rPr>
          <w:t xml:space="preserve"> sur la gestion des EPE, exercice 2020</w:t>
        </w:r>
        <w:r>
          <w:tab/>
        </w:r>
        <w:r>
          <w:tab/>
        </w:r>
        <w:r>
          <w:fldChar w:fldCharType="begin"/>
        </w:r>
        <w:r>
          <w:instrText>PAGE   \* MERGEFORMAT</w:instrText>
        </w:r>
        <w:r>
          <w:fldChar w:fldCharType="separate"/>
        </w:r>
        <w:r w:rsidR="008431FD">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6CE3" w14:textId="77777777" w:rsidR="00235FC2" w:rsidRDefault="00235FC2">
      <w:r>
        <w:separator/>
      </w:r>
    </w:p>
  </w:footnote>
  <w:footnote w:type="continuationSeparator" w:id="0">
    <w:p w14:paraId="094DA968" w14:textId="77777777" w:rsidR="00235FC2" w:rsidRDefault="0023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CB80" w14:textId="77777777" w:rsidR="00B0062D" w:rsidRDefault="00B0062D">
    <w:pPr>
      <w:pStyle w:val="En-tte"/>
      <w:framePr w:wrap="around" w:vAnchor="text" w:hAnchor="margin" w:xAlign="right" w:y="1"/>
    </w:pPr>
    <w:r>
      <w:fldChar w:fldCharType="begin"/>
    </w:r>
    <w:r>
      <w:instrText xml:space="preserve">PAGE  </w:instrText>
    </w:r>
    <w:r>
      <w:fldChar w:fldCharType="separate"/>
    </w:r>
    <w:r>
      <w:rPr>
        <w:noProof/>
      </w:rPr>
      <w:t>33</w:t>
    </w:r>
    <w:r>
      <w:fldChar w:fldCharType="end"/>
    </w:r>
  </w:p>
  <w:p w14:paraId="6A60BAE7" w14:textId="77777777" w:rsidR="00B0062D" w:rsidRDefault="00B0062D">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1.25pt;height:11.25pt" o:bullet="t">
        <v:imagedata r:id="rId1" o:title=""/>
      </v:shape>
    </w:pict>
  </w:numPicBullet>
  <w:numPicBullet w:numPicBulletId="1">
    <w:pict>
      <v:shape id="_x0000_i1162" type="#_x0000_t75" style="width:11.25pt;height:11.25pt" o:bullet="t">
        <v:imagedata r:id="rId2" o:title=""/>
      </v:shape>
    </w:pict>
  </w:numPicBullet>
  <w:numPicBullet w:numPicBulletId="2">
    <w:pict>
      <v:shape id="_x0000_i1163" type="#_x0000_t75" style="width:11.25pt;height:11.25pt" o:bullet="t">
        <v:imagedata r:id="rId3" o:title="msoBDE6"/>
      </v:shape>
    </w:pict>
  </w:numPicBullet>
  <w:abstractNum w:abstractNumId="0" w15:restartNumberingAfterBreak="0">
    <w:nsid w:val="066212A4"/>
    <w:multiLevelType w:val="hybridMultilevel"/>
    <w:tmpl w:val="2E142A3A"/>
    <w:lvl w:ilvl="0" w:tplc="C7DCFC28">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7823D6B"/>
    <w:multiLevelType w:val="hybridMultilevel"/>
    <w:tmpl w:val="CA722648"/>
    <w:lvl w:ilvl="0" w:tplc="06346BE0">
      <w:start w:val="1"/>
      <w:numFmt w:val="bullet"/>
      <w:lvlText w:val=""/>
      <w:lvlJc w:val="left"/>
      <w:pPr>
        <w:tabs>
          <w:tab w:val="num" w:pos="720"/>
        </w:tabs>
        <w:ind w:left="720" w:hanging="360"/>
      </w:pPr>
      <w:rPr>
        <w:rFonts w:ascii="Wingdings" w:hAnsi="Wingdings" w:hint="default"/>
      </w:rPr>
    </w:lvl>
    <w:lvl w:ilvl="1" w:tplc="112C0712" w:tentative="1">
      <w:start w:val="1"/>
      <w:numFmt w:val="bullet"/>
      <w:lvlText w:val=""/>
      <w:lvlJc w:val="left"/>
      <w:pPr>
        <w:tabs>
          <w:tab w:val="num" w:pos="1440"/>
        </w:tabs>
        <w:ind w:left="1440" w:hanging="360"/>
      </w:pPr>
      <w:rPr>
        <w:rFonts w:ascii="Wingdings" w:hAnsi="Wingdings" w:hint="default"/>
      </w:rPr>
    </w:lvl>
    <w:lvl w:ilvl="2" w:tplc="87F8DCA0" w:tentative="1">
      <w:start w:val="1"/>
      <w:numFmt w:val="bullet"/>
      <w:lvlText w:val=""/>
      <w:lvlJc w:val="left"/>
      <w:pPr>
        <w:tabs>
          <w:tab w:val="num" w:pos="2160"/>
        </w:tabs>
        <w:ind w:left="2160" w:hanging="360"/>
      </w:pPr>
      <w:rPr>
        <w:rFonts w:ascii="Wingdings" w:hAnsi="Wingdings" w:hint="default"/>
      </w:rPr>
    </w:lvl>
    <w:lvl w:ilvl="3" w:tplc="9A8679D2" w:tentative="1">
      <w:start w:val="1"/>
      <w:numFmt w:val="bullet"/>
      <w:lvlText w:val=""/>
      <w:lvlJc w:val="left"/>
      <w:pPr>
        <w:tabs>
          <w:tab w:val="num" w:pos="2880"/>
        </w:tabs>
        <w:ind w:left="2880" w:hanging="360"/>
      </w:pPr>
      <w:rPr>
        <w:rFonts w:ascii="Wingdings" w:hAnsi="Wingdings" w:hint="default"/>
      </w:rPr>
    </w:lvl>
    <w:lvl w:ilvl="4" w:tplc="FD7AF804" w:tentative="1">
      <w:start w:val="1"/>
      <w:numFmt w:val="bullet"/>
      <w:lvlText w:val=""/>
      <w:lvlJc w:val="left"/>
      <w:pPr>
        <w:tabs>
          <w:tab w:val="num" w:pos="3600"/>
        </w:tabs>
        <w:ind w:left="3600" w:hanging="360"/>
      </w:pPr>
      <w:rPr>
        <w:rFonts w:ascii="Wingdings" w:hAnsi="Wingdings" w:hint="default"/>
      </w:rPr>
    </w:lvl>
    <w:lvl w:ilvl="5" w:tplc="36D01B32" w:tentative="1">
      <w:start w:val="1"/>
      <w:numFmt w:val="bullet"/>
      <w:lvlText w:val=""/>
      <w:lvlJc w:val="left"/>
      <w:pPr>
        <w:tabs>
          <w:tab w:val="num" w:pos="4320"/>
        </w:tabs>
        <w:ind w:left="4320" w:hanging="360"/>
      </w:pPr>
      <w:rPr>
        <w:rFonts w:ascii="Wingdings" w:hAnsi="Wingdings" w:hint="default"/>
      </w:rPr>
    </w:lvl>
    <w:lvl w:ilvl="6" w:tplc="AB4063B4" w:tentative="1">
      <w:start w:val="1"/>
      <w:numFmt w:val="bullet"/>
      <w:lvlText w:val=""/>
      <w:lvlJc w:val="left"/>
      <w:pPr>
        <w:tabs>
          <w:tab w:val="num" w:pos="5040"/>
        </w:tabs>
        <w:ind w:left="5040" w:hanging="360"/>
      </w:pPr>
      <w:rPr>
        <w:rFonts w:ascii="Wingdings" w:hAnsi="Wingdings" w:hint="default"/>
      </w:rPr>
    </w:lvl>
    <w:lvl w:ilvl="7" w:tplc="7F66CED4" w:tentative="1">
      <w:start w:val="1"/>
      <w:numFmt w:val="bullet"/>
      <w:lvlText w:val=""/>
      <w:lvlJc w:val="left"/>
      <w:pPr>
        <w:tabs>
          <w:tab w:val="num" w:pos="5760"/>
        </w:tabs>
        <w:ind w:left="5760" w:hanging="360"/>
      </w:pPr>
      <w:rPr>
        <w:rFonts w:ascii="Wingdings" w:hAnsi="Wingdings" w:hint="default"/>
      </w:rPr>
    </w:lvl>
    <w:lvl w:ilvl="8" w:tplc="3CFE47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E7ADE"/>
    <w:multiLevelType w:val="hybridMultilevel"/>
    <w:tmpl w:val="B7641244"/>
    <w:lvl w:ilvl="0" w:tplc="10F6F42E">
      <w:start w:val="1"/>
      <w:numFmt w:val="bullet"/>
      <w:lvlText w:val=""/>
      <w:lvlPicBulletId w:val="0"/>
      <w:lvlJc w:val="left"/>
      <w:pPr>
        <w:tabs>
          <w:tab w:val="num" w:pos="720"/>
        </w:tabs>
        <w:ind w:left="720" w:hanging="360"/>
      </w:pPr>
      <w:rPr>
        <w:rFonts w:ascii="Symbol" w:hAnsi="Symbol" w:hint="default"/>
      </w:rPr>
    </w:lvl>
    <w:lvl w:ilvl="1" w:tplc="2B6072CA" w:tentative="1">
      <w:start w:val="1"/>
      <w:numFmt w:val="bullet"/>
      <w:lvlText w:val=""/>
      <w:lvlJc w:val="left"/>
      <w:pPr>
        <w:tabs>
          <w:tab w:val="num" w:pos="1440"/>
        </w:tabs>
        <w:ind w:left="1440" w:hanging="360"/>
      </w:pPr>
      <w:rPr>
        <w:rFonts w:ascii="Symbol" w:hAnsi="Symbol" w:hint="default"/>
      </w:rPr>
    </w:lvl>
    <w:lvl w:ilvl="2" w:tplc="31027F7A" w:tentative="1">
      <w:start w:val="1"/>
      <w:numFmt w:val="bullet"/>
      <w:lvlText w:val=""/>
      <w:lvlJc w:val="left"/>
      <w:pPr>
        <w:tabs>
          <w:tab w:val="num" w:pos="2160"/>
        </w:tabs>
        <w:ind w:left="2160" w:hanging="360"/>
      </w:pPr>
      <w:rPr>
        <w:rFonts w:ascii="Symbol" w:hAnsi="Symbol" w:hint="default"/>
      </w:rPr>
    </w:lvl>
    <w:lvl w:ilvl="3" w:tplc="EBC481D6" w:tentative="1">
      <w:start w:val="1"/>
      <w:numFmt w:val="bullet"/>
      <w:lvlText w:val=""/>
      <w:lvlJc w:val="left"/>
      <w:pPr>
        <w:tabs>
          <w:tab w:val="num" w:pos="2880"/>
        </w:tabs>
        <w:ind w:left="2880" w:hanging="360"/>
      </w:pPr>
      <w:rPr>
        <w:rFonts w:ascii="Symbol" w:hAnsi="Symbol" w:hint="default"/>
      </w:rPr>
    </w:lvl>
    <w:lvl w:ilvl="4" w:tplc="836657BE" w:tentative="1">
      <w:start w:val="1"/>
      <w:numFmt w:val="bullet"/>
      <w:lvlText w:val=""/>
      <w:lvlJc w:val="left"/>
      <w:pPr>
        <w:tabs>
          <w:tab w:val="num" w:pos="3600"/>
        </w:tabs>
        <w:ind w:left="3600" w:hanging="360"/>
      </w:pPr>
      <w:rPr>
        <w:rFonts w:ascii="Symbol" w:hAnsi="Symbol" w:hint="default"/>
      </w:rPr>
    </w:lvl>
    <w:lvl w:ilvl="5" w:tplc="6A0CC0FC" w:tentative="1">
      <w:start w:val="1"/>
      <w:numFmt w:val="bullet"/>
      <w:lvlText w:val=""/>
      <w:lvlJc w:val="left"/>
      <w:pPr>
        <w:tabs>
          <w:tab w:val="num" w:pos="4320"/>
        </w:tabs>
        <w:ind w:left="4320" w:hanging="360"/>
      </w:pPr>
      <w:rPr>
        <w:rFonts w:ascii="Symbol" w:hAnsi="Symbol" w:hint="default"/>
      </w:rPr>
    </w:lvl>
    <w:lvl w:ilvl="6" w:tplc="33328582" w:tentative="1">
      <w:start w:val="1"/>
      <w:numFmt w:val="bullet"/>
      <w:lvlText w:val=""/>
      <w:lvlJc w:val="left"/>
      <w:pPr>
        <w:tabs>
          <w:tab w:val="num" w:pos="5040"/>
        </w:tabs>
        <w:ind w:left="5040" w:hanging="360"/>
      </w:pPr>
      <w:rPr>
        <w:rFonts w:ascii="Symbol" w:hAnsi="Symbol" w:hint="default"/>
      </w:rPr>
    </w:lvl>
    <w:lvl w:ilvl="7" w:tplc="6E4E369A" w:tentative="1">
      <w:start w:val="1"/>
      <w:numFmt w:val="bullet"/>
      <w:lvlText w:val=""/>
      <w:lvlJc w:val="left"/>
      <w:pPr>
        <w:tabs>
          <w:tab w:val="num" w:pos="5760"/>
        </w:tabs>
        <w:ind w:left="5760" w:hanging="360"/>
      </w:pPr>
      <w:rPr>
        <w:rFonts w:ascii="Symbol" w:hAnsi="Symbol" w:hint="default"/>
      </w:rPr>
    </w:lvl>
    <w:lvl w:ilvl="8" w:tplc="2982AD9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C774FF"/>
    <w:multiLevelType w:val="hybridMultilevel"/>
    <w:tmpl w:val="3390AA58"/>
    <w:lvl w:ilvl="0" w:tplc="8B12D196">
      <w:start w:val="1"/>
      <w:numFmt w:val="bullet"/>
      <w:lvlText w:val=""/>
      <w:lvlPicBulletId w:val="0"/>
      <w:lvlJc w:val="left"/>
      <w:pPr>
        <w:tabs>
          <w:tab w:val="num" w:pos="720"/>
        </w:tabs>
        <w:ind w:left="720" w:hanging="360"/>
      </w:pPr>
      <w:rPr>
        <w:rFonts w:ascii="Symbol" w:hAnsi="Symbol" w:hint="default"/>
      </w:rPr>
    </w:lvl>
    <w:lvl w:ilvl="1" w:tplc="ED847E0A" w:tentative="1">
      <w:start w:val="1"/>
      <w:numFmt w:val="bullet"/>
      <w:lvlText w:val=""/>
      <w:lvlJc w:val="left"/>
      <w:pPr>
        <w:tabs>
          <w:tab w:val="num" w:pos="1440"/>
        </w:tabs>
        <w:ind w:left="1440" w:hanging="360"/>
      </w:pPr>
      <w:rPr>
        <w:rFonts w:ascii="Symbol" w:hAnsi="Symbol" w:hint="default"/>
      </w:rPr>
    </w:lvl>
    <w:lvl w:ilvl="2" w:tplc="B46E50F0" w:tentative="1">
      <w:start w:val="1"/>
      <w:numFmt w:val="bullet"/>
      <w:lvlText w:val=""/>
      <w:lvlJc w:val="left"/>
      <w:pPr>
        <w:tabs>
          <w:tab w:val="num" w:pos="2160"/>
        </w:tabs>
        <w:ind w:left="2160" w:hanging="360"/>
      </w:pPr>
      <w:rPr>
        <w:rFonts w:ascii="Symbol" w:hAnsi="Symbol" w:hint="default"/>
      </w:rPr>
    </w:lvl>
    <w:lvl w:ilvl="3" w:tplc="7616A206" w:tentative="1">
      <w:start w:val="1"/>
      <w:numFmt w:val="bullet"/>
      <w:lvlText w:val=""/>
      <w:lvlJc w:val="left"/>
      <w:pPr>
        <w:tabs>
          <w:tab w:val="num" w:pos="2880"/>
        </w:tabs>
        <w:ind w:left="2880" w:hanging="360"/>
      </w:pPr>
      <w:rPr>
        <w:rFonts w:ascii="Symbol" w:hAnsi="Symbol" w:hint="default"/>
      </w:rPr>
    </w:lvl>
    <w:lvl w:ilvl="4" w:tplc="3AD8E1B6" w:tentative="1">
      <w:start w:val="1"/>
      <w:numFmt w:val="bullet"/>
      <w:lvlText w:val=""/>
      <w:lvlJc w:val="left"/>
      <w:pPr>
        <w:tabs>
          <w:tab w:val="num" w:pos="3600"/>
        </w:tabs>
        <w:ind w:left="3600" w:hanging="360"/>
      </w:pPr>
      <w:rPr>
        <w:rFonts w:ascii="Symbol" w:hAnsi="Symbol" w:hint="default"/>
      </w:rPr>
    </w:lvl>
    <w:lvl w:ilvl="5" w:tplc="A84291BA" w:tentative="1">
      <w:start w:val="1"/>
      <w:numFmt w:val="bullet"/>
      <w:lvlText w:val=""/>
      <w:lvlJc w:val="left"/>
      <w:pPr>
        <w:tabs>
          <w:tab w:val="num" w:pos="4320"/>
        </w:tabs>
        <w:ind w:left="4320" w:hanging="360"/>
      </w:pPr>
      <w:rPr>
        <w:rFonts w:ascii="Symbol" w:hAnsi="Symbol" w:hint="default"/>
      </w:rPr>
    </w:lvl>
    <w:lvl w:ilvl="6" w:tplc="FE8282C4" w:tentative="1">
      <w:start w:val="1"/>
      <w:numFmt w:val="bullet"/>
      <w:lvlText w:val=""/>
      <w:lvlJc w:val="left"/>
      <w:pPr>
        <w:tabs>
          <w:tab w:val="num" w:pos="5040"/>
        </w:tabs>
        <w:ind w:left="5040" w:hanging="360"/>
      </w:pPr>
      <w:rPr>
        <w:rFonts w:ascii="Symbol" w:hAnsi="Symbol" w:hint="default"/>
      </w:rPr>
    </w:lvl>
    <w:lvl w:ilvl="7" w:tplc="3EC46B30" w:tentative="1">
      <w:start w:val="1"/>
      <w:numFmt w:val="bullet"/>
      <w:lvlText w:val=""/>
      <w:lvlJc w:val="left"/>
      <w:pPr>
        <w:tabs>
          <w:tab w:val="num" w:pos="5760"/>
        </w:tabs>
        <w:ind w:left="5760" w:hanging="360"/>
      </w:pPr>
      <w:rPr>
        <w:rFonts w:ascii="Symbol" w:hAnsi="Symbol" w:hint="default"/>
      </w:rPr>
    </w:lvl>
    <w:lvl w:ilvl="8" w:tplc="965E21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E06A3"/>
    <w:multiLevelType w:val="hybridMultilevel"/>
    <w:tmpl w:val="B38A6C96"/>
    <w:lvl w:ilvl="0" w:tplc="778A600A">
      <w:start w:val="50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A29F9"/>
    <w:multiLevelType w:val="hybridMultilevel"/>
    <w:tmpl w:val="227433DC"/>
    <w:lvl w:ilvl="0" w:tplc="040C0011">
      <w:start w:val="1"/>
      <w:numFmt w:val="decimal"/>
      <w:lvlText w:val="%1)"/>
      <w:lvlJc w:val="left"/>
      <w:pPr>
        <w:tabs>
          <w:tab w:val="num" w:pos="720"/>
        </w:tabs>
        <w:ind w:left="720" w:hanging="360"/>
      </w:pPr>
      <w:rPr>
        <w:rFonts w:cs="Times New Roman" w:hint="default"/>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71055A"/>
    <w:multiLevelType w:val="hybridMultilevel"/>
    <w:tmpl w:val="FF8E9F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6073EB"/>
    <w:multiLevelType w:val="hybridMultilevel"/>
    <w:tmpl w:val="95F2DE96"/>
    <w:lvl w:ilvl="0" w:tplc="AA66A844">
      <w:start w:val="1"/>
      <w:numFmt w:val="bullet"/>
      <w:lvlText w:val=""/>
      <w:lvlJc w:val="left"/>
      <w:pPr>
        <w:tabs>
          <w:tab w:val="num" w:pos="720"/>
        </w:tabs>
        <w:ind w:left="720" w:hanging="360"/>
      </w:pPr>
      <w:rPr>
        <w:rFonts w:ascii="Wingdings" w:hAnsi="Wingdings" w:hint="default"/>
      </w:rPr>
    </w:lvl>
    <w:lvl w:ilvl="1" w:tplc="B51EB6D0" w:tentative="1">
      <w:start w:val="1"/>
      <w:numFmt w:val="bullet"/>
      <w:lvlText w:val=""/>
      <w:lvlJc w:val="left"/>
      <w:pPr>
        <w:tabs>
          <w:tab w:val="num" w:pos="1440"/>
        </w:tabs>
        <w:ind w:left="1440" w:hanging="360"/>
      </w:pPr>
      <w:rPr>
        <w:rFonts w:ascii="Wingdings" w:hAnsi="Wingdings" w:hint="default"/>
      </w:rPr>
    </w:lvl>
    <w:lvl w:ilvl="2" w:tplc="E5129DEE" w:tentative="1">
      <w:start w:val="1"/>
      <w:numFmt w:val="bullet"/>
      <w:lvlText w:val=""/>
      <w:lvlJc w:val="left"/>
      <w:pPr>
        <w:tabs>
          <w:tab w:val="num" w:pos="2160"/>
        </w:tabs>
        <w:ind w:left="2160" w:hanging="360"/>
      </w:pPr>
      <w:rPr>
        <w:rFonts w:ascii="Wingdings" w:hAnsi="Wingdings" w:hint="default"/>
      </w:rPr>
    </w:lvl>
    <w:lvl w:ilvl="3" w:tplc="3D647DD8" w:tentative="1">
      <w:start w:val="1"/>
      <w:numFmt w:val="bullet"/>
      <w:lvlText w:val=""/>
      <w:lvlJc w:val="left"/>
      <w:pPr>
        <w:tabs>
          <w:tab w:val="num" w:pos="2880"/>
        </w:tabs>
        <w:ind w:left="2880" w:hanging="360"/>
      </w:pPr>
      <w:rPr>
        <w:rFonts w:ascii="Wingdings" w:hAnsi="Wingdings" w:hint="default"/>
      </w:rPr>
    </w:lvl>
    <w:lvl w:ilvl="4" w:tplc="69A69EEA" w:tentative="1">
      <w:start w:val="1"/>
      <w:numFmt w:val="bullet"/>
      <w:lvlText w:val=""/>
      <w:lvlJc w:val="left"/>
      <w:pPr>
        <w:tabs>
          <w:tab w:val="num" w:pos="3600"/>
        </w:tabs>
        <w:ind w:left="3600" w:hanging="360"/>
      </w:pPr>
      <w:rPr>
        <w:rFonts w:ascii="Wingdings" w:hAnsi="Wingdings" w:hint="default"/>
      </w:rPr>
    </w:lvl>
    <w:lvl w:ilvl="5" w:tplc="09902E8A" w:tentative="1">
      <w:start w:val="1"/>
      <w:numFmt w:val="bullet"/>
      <w:lvlText w:val=""/>
      <w:lvlJc w:val="left"/>
      <w:pPr>
        <w:tabs>
          <w:tab w:val="num" w:pos="4320"/>
        </w:tabs>
        <w:ind w:left="4320" w:hanging="360"/>
      </w:pPr>
      <w:rPr>
        <w:rFonts w:ascii="Wingdings" w:hAnsi="Wingdings" w:hint="default"/>
      </w:rPr>
    </w:lvl>
    <w:lvl w:ilvl="6" w:tplc="BF5EFECE" w:tentative="1">
      <w:start w:val="1"/>
      <w:numFmt w:val="bullet"/>
      <w:lvlText w:val=""/>
      <w:lvlJc w:val="left"/>
      <w:pPr>
        <w:tabs>
          <w:tab w:val="num" w:pos="5040"/>
        </w:tabs>
        <w:ind w:left="5040" w:hanging="360"/>
      </w:pPr>
      <w:rPr>
        <w:rFonts w:ascii="Wingdings" w:hAnsi="Wingdings" w:hint="default"/>
      </w:rPr>
    </w:lvl>
    <w:lvl w:ilvl="7" w:tplc="EE0621A4" w:tentative="1">
      <w:start w:val="1"/>
      <w:numFmt w:val="bullet"/>
      <w:lvlText w:val=""/>
      <w:lvlJc w:val="left"/>
      <w:pPr>
        <w:tabs>
          <w:tab w:val="num" w:pos="5760"/>
        </w:tabs>
        <w:ind w:left="5760" w:hanging="360"/>
      </w:pPr>
      <w:rPr>
        <w:rFonts w:ascii="Wingdings" w:hAnsi="Wingdings" w:hint="default"/>
      </w:rPr>
    </w:lvl>
    <w:lvl w:ilvl="8" w:tplc="F2BCC7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77BE6"/>
    <w:multiLevelType w:val="hybridMultilevel"/>
    <w:tmpl w:val="F7866C48"/>
    <w:lvl w:ilvl="0" w:tplc="97787FFA">
      <w:start w:val="1"/>
      <w:numFmt w:val="bullet"/>
      <w:lvlText w:val=""/>
      <w:lvlPicBulletId w:val="0"/>
      <w:lvlJc w:val="left"/>
      <w:pPr>
        <w:tabs>
          <w:tab w:val="num" w:pos="720"/>
        </w:tabs>
        <w:ind w:left="720" w:hanging="360"/>
      </w:pPr>
      <w:rPr>
        <w:rFonts w:ascii="Symbol" w:hAnsi="Symbol" w:hint="default"/>
      </w:rPr>
    </w:lvl>
    <w:lvl w:ilvl="1" w:tplc="F822B6B8" w:tentative="1">
      <w:start w:val="1"/>
      <w:numFmt w:val="bullet"/>
      <w:lvlText w:val=""/>
      <w:lvlJc w:val="left"/>
      <w:pPr>
        <w:tabs>
          <w:tab w:val="num" w:pos="1440"/>
        </w:tabs>
        <w:ind w:left="1440" w:hanging="360"/>
      </w:pPr>
      <w:rPr>
        <w:rFonts w:ascii="Symbol" w:hAnsi="Symbol" w:hint="default"/>
      </w:rPr>
    </w:lvl>
    <w:lvl w:ilvl="2" w:tplc="4F38AE94" w:tentative="1">
      <w:start w:val="1"/>
      <w:numFmt w:val="bullet"/>
      <w:lvlText w:val=""/>
      <w:lvlJc w:val="left"/>
      <w:pPr>
        <w:tabs>
          <w:tab w:val="num" w:pos="2160"/>
        </w:tabs>
        <w:ind w:left="2160" w:hanging="360"/>
      </w:pPr>
      <w:rPr>
        <w:rFonts w:ascii="Symbol" w:hAnsi="Symbol" w:hint="default"/>
      </w:rPr>
    </w:lvl>
    <w:lvl w:ilvl="3" w:tplc="122EB692" w:tentative="1">
      <w:start w:val="1"/>
      <w:numFmt w:val="bullet"/>
      <w:lvlText w:val=""/>
      <w:lvlJc w:val="left"/>
      <w:pPr>
        <w:tabs>
          <w:tab w:val="num" w:pos="2880"/>
        </w:tabs>
        <w:ind w:left="2880" w:hanging="360"/>
      </w:pPr>
      <w:rPr>
        <w:rFonts w:ascii="Symbol" w:hAnsi="Symbol" w:hint="default"/>
      </w:rPr>
    </w:lvl>
    <w:lvl w:ilvl="4" w:tplc="B29A3F16" w:tentative="1">
      <w:start w:val="1"/>
      <w:numFmt w:val="bullet"/>
      <w:lvlText w:val=""/>
      <w:lvlJc w:val="left"/>
      <w:pPr>
        <w:tabs>
          <w:tab w:val="num" w:pos="3600"/>
        </w:tabs>
        <w:ind w:left="3600" w:hanging="360"/>
      </w:pPr>
      <w:rPr>
        <w:rFonts w:ascii="Symbol" w:hAnsi="Symbol" w:hint="default"/>
      </w:rPr>
    </w:lvl>
    <w:lvl w:ilvl="5" w:tplc="982EBE7C" w:tentative="1">
      <w:start w:val="1"/>
      <w:numFmt w:val="bullet"/>
      <w:lvlText w:val=""/>
      <w:lvlJc w:val="left"/>
      <w:pPr>
        <w:tabs>
          <w:tab w:val="num" w:pos="4320"/>
        </w:tabs>
        <w:ind w:left="4320" w:hanging="360"/>
      </w:pPr>
      <w:rPr>
        <w:rFonts w:ascii="Symbol" w:hAnsi="Symbol" w:hint="default"/>
      </w:rPr>
    </w:lvl>
    <w:lvl w:ilvl="6" w:tplc="29EE04B6" w:tentative="1">
      <w:start w:val="1"/>
      <w:numFmt w:val="bullet"/>
      <w:lvlText w:val=""/>
      <w:lvlJc w:val="left"/>
      <w:pPr>
        <w:tabs>
          <w:tab w:val="num" w:pos="5040"/>
        </w:tabs>
        <w:ind w:left="5040" w:hanging="360"/>
      </w:pPr>
      <w:rPr>
        <w:rFonts w:ascii="Symbol" w:hAnsi="Symbol" w:hint="default"/>
      </w:rPr>
    </w:lvl>
    <w:lvl w:ilvl="7" w:tplc="3B8485E6" w:tentative="1">
      <w:start w:val="1"/>
      <w:numFmt w:val="bullet"/>
      <w:lvlText w:val=""/>
      <w:lvlJc w:val="left"/>
      <w:pPr>
        <w:tabs>
          <w:tab w:val="num" w:pos="5760"/>
        </w:tabs>
        <w:ind w:left="5760" w:hanging="360"/>
      </w:pPr>
      <w:rPr>
        <w:rFonts w:ascii="Symbol" w:hAnsi="Symbol" w:hint="default"/>
      </w:rPr>
    </w:lvl>
    <w:lvl w:ilvl="8" w:tplc="31607A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AC328E4"/>
    <w:multiLevelType w:val="hybridMultilevel"/>
    <w:tmpl w:val="61009CD0"/>
    <w:lvl w:ilvl="0" w:tplc="73A4EF04">
      <w:start w:val="1"/>
      <w:numFmt w:val="bullet"/>
      <w:lvlText w:val=""/>
      <w:lvlPicBulletId w:val="2"/>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E50A37"/>
    <w:multiLevelType w:val="hybridMultilevel"/>
    <w:tmpl w:val="DA30FC2C"/>
    <w:lvl w:ilvl="0" w:tplc="300C9D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6471A7"/>
    <w:multiLevelType w:val="hybridMultilevel"/>
    <w:tmpl w:val="5566A5C0"/>
    <w:lvl w:ilvl="0" w:tplc="123038AA">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2CD29A8"/>
    <w:multiLevelType w:val="hybridMultilevel"/>
    <w:tmpl w:val="BFC0AE0E"/>
    <w:lvl w:ilvl="0" w:tplc="EBE69F50">
      <w:start w:val="1"/>
      <w:numFmt w:val="bullet"/>
      <w:lvlText w:val=""/>
      <w:lvlPicBulletId w:val="0"/>
      <w:lvlJc w:val="left"/>
      <w:pPr>
        <w:tabs>
          <w:tab w:val="num" w:pos="720"/>
        </w:tabs>
        <w:ind w:left="720" w:hanging="360"/>
      </w:pPr>
      <w:rPr>
        <w:rFonts w:ascii="Symbol" w:hAnsi="Symbol" w:hint="default"/>
      </w:rPr>
    </w:lvl>
    <w:lvl w:ilvl="1" w:tplc="450C5CB0" w:tentative="1">
      <w:start w:val="1"/>
      <w:numFmt w:val="bullet"/>
      <w:lvlText w:val=""/>
      <w:lvlJc w:val="left"/>
      <w:pPr>
        <w:tabs>
          <w:tab w:val="num" w:pos="1440"/>
        </w:tabs>
        <w:ind w:left="1440" w:hanging="360"/>
      </w:pPr>
      <w:rPr>
        <w:rFonts w:ascii="Symbol" w:hAnsi="Symbol" w:hint="default"/>
      </w:rPr>
    </w:lvl>
    <w:lvl w:ilvl="2" w:tplc="2F5E82D8" w:tentative="1">
      <w:start w:val="1"/>
      <w:numFmt w:val="bullet"/>
      <w:lvlText w:val=""/>
      <w:lvlJc w:val="left"/>
      <w:pPr>
        <w:tabs>
          <w:tab w:val="num" w:pos="2160"/>
        </w:tabs>
        <w:ind w:left="2160" w:hanging="360"/>
      </w:pPr>
      <w:rPr>
        <w:rFonts w:ascii="Symbol" w:hAnsi="Symbol" w:hint="default"/>
      </w:rPr>
    </w:lvl>
    <w:lvl w:ilvl="3" w:tplc="3528C5D4" w:tentative="1">
      <w:start w:val="1"/>
      <w:numFmt w:val="bullet"/>
      <w:lvlText w:val=""/>
      <w:lvlJc w:val="left"/>
      <w:pPr>
        <w:tabs>
          <w:tab w:val="num" w:pos="2880"/>
        </w:tabs>
        <w:ind w:left="2880" w:hanging="360"/>
      </w:pPr>
      <w:rPr>
        <w:rFonts w:ascii="Symbol" w:hAnsi="Symbol" w:hint="default"/>
      </w:rPr>
    </w:lvl>
    <w:lvl w:ilvl="4" w:tplc="ED1A91B0" w:tentative="1">
      <w:start w:val="1"/>
      <w:numFmt w:val="bullet"/>
      <w:lvlText w:val=""/>
      <w:lvlJc w:val="left"/>
      <w:pPr>
        <w:tabs>
          <w:tab w:val="num" w:pos="3600"/>
        </w:tabs>
        <w:ind w:left="3600" w:hanging="360"/>
      </w:pPr>
      <w:rPr>
        <w:rFonts w:ascii="Symbol" w:hAnsi="Symbol" w:hint="default"/>
      </w:rPr>
    </w:lvl>
    <w:lvl w:ilvl="5" w:tplc="A3D47E66" w:tentative="1">
      <w:start w:val="1"/>
      <w:numFmt w:val="bullet"/>
      <w:lvlText w:val=""/>
      <w:lvlJc w:val="left"/>
      <w:pPr>
        <w:tabs>
          <w:tab w:val="num" w:pos="4320"/>
        </w:tabs>
        <w:ind w:left="4320" w:hanging="360"/>
      </w:pPr>
      <w:rPr>
        <w:rFonts w:ascii="Symbol" w:hAnsi="Symbol" w:hint="default"/>
      </w:rPr>
    </w:lvl>
    <w:lvl w:ilvl="6" w:tplc="6EA6410C" w:tentative="1">
      <w:start w:val="1"/>
      <w:numFmt w:val="bullet"/>
      <w:lvlText w:val=""/>
      <w:lvlJc w:val="left"/>
      <w:pPr>
        <w:tabs>
          <w:tab w:val="num" w:pos="5040"/>
        </w:tabs>
        <w:ind w:left="5040" w:hanging="360"/>
      </w:pPr>
      <w:rPr>
        <w:rFonts w:ascii="Symbol" w:hAnsi="Symbol" w:hint="default"/>
      </w:rPr>
    </w:lvl>
    <w:lvl w:ilvl="7" w:tplc="BF7CA210" w:tentative="1">
      <w:start w:val="1"/>
      <w:numFmt w:val="bullet"/>
      <w:lvlText w:val=""/>
      <w:lvlJc w:val="left"/>
      <w:pPr>
        <w:tabs>
          <w:tab w:val="num" w:pos="5760"/>
        </w:tabs>
        <w:ind w:left="5760" w:hanging="360"/>
      </w:pPr>
      <w:rPr>
        <w:rFonts w:ascii="Symbol" w:hAnsi="Symbol" w:hint="default"/>
      </w:rPr>
    </w:lvl>
    <w:lvl w:ilvl="8" w:tplc="A7D05B2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3A1547B"/>
    <w:multiLevelType w:val="hybridMultilevel"/>
    <w:tmpl w:val="C9F4260C"/>
    <w:lvl w:ilvl="0" w:tplc="016CCA82">
      <w:start w:val="1"/>
      <w:numFmt w:val="bullet"/>
      <w:lvlText w:val=""/>
      <w:lvlJc w:val="left"/>
      <w:pPr>
        <w:tabs>
          <w:tab w:val="num" w:pos="720"/>
        </w:tabs>
        <w:ind w:left="720" w:hanging="360"/>
      </w:pPr>
      <w:rPr>
        <w:rFonts w:ascii="Wingdings" w:hAnsi="Wingdings" w:hint="default"/>
      </w:rPr>
    </w:lvl>
    <w:lvl w:ilvl="1" w:tplc="68F8486E">
      <w:start w:val="1"/>
      <w:numFmt w:val="bullet"/>
      <w:lvlText w:val=""/>
      <w:lvlJc w:val="left"/>
      <w:pPr>
        <w:tabs>
          <w:tab w:val="num" w:pos="1440"/>
        </w:tabs>
        <w:ind w:left="1440" w:hanging="360"/>
      </w:pPr>
      <w:rPr>
        <w:rFonts w:ascii="Wingdings" w:hAnsi="Wingdings" w:hint="default"/>
      </w:rPr>
    </w:lvl>
    <w:lvl w:ilvl="2" w:tplc="191CA2B2" w:tentative="1">
      <w:start w:val="1"/>
      <w:numFmt w:val="bullet"/>
      <w:lvlText w:val=""/>
      <w:lvlJc w:val="left"/>
      <w:pPr>
        <w:tabs>
          <w:tab w:val="num" w:pos="2160"/>
        </w:tabs>
        <w:ind w:left="2160" w:hanging="360"/>
      </w:pPr>
      <w:rPr>
        <w:rFonts w:ascii="Wingdings" w:hAnsi="Wingdings" w:hint="default"/>
      </w:rPr>
    </w:lvl>
    <w:lvl w:ilvl="3" w:tplc="2564B5F8" w:tentative="1">
      <w:start w:val="1"/>
      <w:numFmt w:val="bullet"/>
      <w:lvlText w:val=""/>
      <w:lvlJc w:val="left"/>
      <w:pPr>
        <w:tabs>
          <w:tab w:val="num" w:pos="2880"/>
        </w:tabs>
        <w:ind w:left="2880" w:hanging="360"/>
      </w:pPr>
      <w:rPr>
        <w:rFonts w:ascii="Wingdings" w:hAnsi="Wingdings" w:hint="default"/>
      </w:rPr>
    </w:lvl>
    <w:lvl w:ilvl="4" w:tplc="5DEA4694" w:tentative="1">
      <w:start w:val="1"/>
      <w:numFmt w:val="bullet"/>
      <w:lvlText w:val=""/>
      <w:lvlJc w:val="left"/>
      <w:pPr>
        <w:tabs>
          <w:tab w:val="num" w:pos="3600"/>
        </w:tabs>
        <w:ind w:left="3600" w:hanging="360"/>
      </w:pPr>
      <w:rPr>
        <w:rFonts w:ascii="Wingdings" w:hAnsi="Wingdings" w:hint="default"/>
      </w:rPr>
    </w:lvl>
    <w:lvl w:ilvl="5" w:tplc="114E3D5A" w:tentative="1">
      <w:start w:val="1"/>
      <w:numFmt w:val="bullet"/>
      <w:lvlText w:val=""/>
      <w:lvlJc w:val="left"/>
      <w:pPr>
        <w:tabs>
          <w:tab w:val="num" w:pos="4320"/>
        </w:tabs>
        <w:ind w:left="4320" w:hanging="360"/>
      </w:pPr>
      <w:rPr>
        <w:rFonts w:ascii="Wingdings" w:hAnsi="Wingdings" w:hint="default"/>
      </w:rPr>
    </w:lvl>
    <w:lvl w:ilvl="6" w:tplc="38DA50AA" w:tentative="1">
      <w:start w:val="1"/>
      <w:numFmt w:val="bullet"/>
      <w:lvlText w:val=""/>
      <w:lvlJc w:val="left"/>
      <w:pPr>
        <w:tabs>
          <w:tab w:val="num" w:pos="5040"/>
        </w:tabs>
        <w:ind w:left="5040" w:hanging="360"/>
      </w:pPr>
      <w:rPr>
        <w:rFonts w:ascii="Wingdings" w:hAnsi="Wingdings" w:hint="default"/>
      </w:rPr>
    </w:lvl>
    <w:lvl w:ilvl="7" w:tplc="16B21708" w:tentative="1">
      <w:start w:val="1"/>
      <w:numFmt w:val="bullet"/>
      <w:lvlText w:val=""/>
      <w:lvlJc w:val="left"/>
      <w:pPr>
        <w:tabs>
          <w:tab w:val="num" w:pos="5760"/>
        </w:tabs>
        <w:ind w:left="5760" w:hanging="360"/>
      </w:pPr>
      <w:rPr>
        <w:rFonts w:ascii="Wingdings" w:hAnsi="Wingdings" w:hint="default"/>
      </w:rPr>
    </w:lvl>
    <w:lvl w:ilvl="8" w:tplc="16CCD8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650764"/>
    <w:multiLevelType w:val="hybridMultilevel"/>
    <w:tmpl w:val="58BA3554"/>
    <w:lvl w:ilvl="0" w:tplc="4D0ACE18">
      <w:start w:val="1"/>
      <w:numFmt w:val="bullet"/>
      <w:lvlText w:val=""/>
      <w:lvlJc w:val="left"/>
      <w:pPr>
        <w:tabs>
          <w:tab w:val="num" w:pos="720"/>
        </w:tabs>
        <w:ind w:left="720" w:hanging="360"/>
      </w:pPr>
      <w:rPr>
        <w:rFonts w:ascii="Wingdings" w:hAnsi="Wingdings" w:hint="default"/>
      </w:rPr>
    </w:lvl>
    <w:lvl w:ilvl="1" w:tplc="2D2C4F62" w:tentative="1">
      <w:start w:val="1"/>
      <w:numFmt w:val="bullet"/>
      <w:lvlText w:val=""/>
      <w:lvlJc w:val="left"/>
      <w:pPr>
        <w:tabs>
          <w:tab w:val="num" w:pos="1440"/>
        </w:tabs>
        <w:ind w:left="1440" w:hanging="360"/>
      </w:pPr>
      <w:rPr>
        <w:rFonts w:ascii="Wingdings" w:hAnsi="Wingdings" w:hint="default"/>
      </w:rPr>
    </w:lvl>
    <w:lvl w:ilvl="2" w:tplc="F1B0AD4A" w:tentative="1">
      <w:start w:val="1"/>
      <w:numFmt w:val="bullet"/>
      <w:lvlText w:val=""/>
      <w:lvlJc w:val="left"/>
      <w:pPr>
        <w:tabs>
          <w:tab w:val="num" w:pos="2160"/>
        </w:tabs>
        <w:ind w:left="2160" w:hanging="360"/>
      </w:pPr>
      <w:rPr>
        <w:rFonts w:ascii="Wingdings" w:hAnsi="Wingdings" w:hint="default"/>
      </w:rPr>
    </w:lvl>
    <w:lvl w:ilvl="3" w:tplc="92A066D4" w:tentative="1">
      <w:start w:val="1"/>
      <w:numFmt w:val="bullet"/>
      <w:lvlText w:val=""/>
      <w:lvlJc w:val="left"/>
      <w:pPr>
        <w:tabs>
          <w:tab w:val="num" w:pos="2880"/>
        </w:tabs>
        <w:ind w:left="2880" w:hanging="360"/>
      </w:pPr>
      <w:rPr>
        <w:rFonts w:ascii="Wingdings" w:hAnsi="Wingdings" w:hint="default"/>
      </w:rPr>
    </w:lvl>
    <w:lvl w:ilvl="4" w:tplc="293C3088" w:tentative="1">
      <w:start w:val="1"/>
      <w:numFmt w:val="bullet"/>
      <w:lvlText w:val=""/>
      <w:lvlJc w:val="left"/>
      <w:pPr>
        <w:tabs>
          <w:tab w:val="num" w:pos="3600"/>
        </w:tabs>
        <w:ind w:left="3600" w:hanging="360"/>
      </w:pPr>
      <w:rPr>
        <w:rFonts w:ascii="Wingdings" w:hAnsi="Wingdings" w:hint="default"/>
      </w:rPr>
    </w:lvl>
    <w:lvl w:ilvl="5" w:tplc="42263124" w:tentative="1">
      <w:start w:val="1"/>
      <w:numFmt w:val="bullet"/>
      <w:lvlText w:val=""/>
      <w:lvlJc w:val="left"/>
      <w:pPr>
        <w:tabs>
          <w:tab w:val="num" w:pos="4320"/>
        </w:tabs>
        <w:ind w:left="4320" w:hanging="360"/>
      </w:pPr>
      <w:rPr>
        <w:rFonts w:ascii="Wingdings" w:hAnsi="Wingdings" w:hint="default"/>
      </w:rPr>
    </w:lvl>
    <w:lvl w:ilvl="6" w:tplc="8F44BE9C" w:tentative="1">
      <w:start w:val="1"/>
      <w:numFmt w:val="bullet"/>
      <w:lvlText w:val=""/>
      <w:lvlJc w:val="left"/>
      <w:pPr>
        <w:tabs>
          <w:tab w:val="num" w:pos="5040"/>
        </w:tabs>
        <w:ind w:left="5040" w:hanging="360"/>
      </w:pPr>
      <w:rPr>
        <w:rFonts w:ascii="Wingdings" w:hAnsi="Wingdings" w:hint="default"/>
      </w:rPr>
    </w:lvl>
    <w:lvl w:ilvl="7" w:tplc="E4ECF58A" w:tentative="1">
      <w:start w:val="1"/>
      <w:numFmt w:val="bullet"/>
      <w:lvlText w:val=""/>
      <w:lvlJc w:val="left"/>
      <w:pPr>
        <w:tabs>
          <w:tab w:val="num" w:pos="5760"/>
        </w:tabs>
        <w:ind w:left="5760" w:hanging="360"/>
      </w:pPr>
      <w:rPr>
        <w:rFonts w:ascii="Wingdings" w:hAnsi="Wingdings" w:hint="default"/>
      </w:rPr>
    </w:lvl>
    <w:lvl w:ilvl="8" w:tplc="4D705A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B6071"/>
    <w:multiLevelType w:val="hybridMultilevel"/>
    <w:tmpl w:val="20164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F91A34"/>
    <w:multiLevelType w:val="hybridMultilevel"/>
    <w:tmpl w:val="8C146440"/>
    <w:lvl w:ilvl="0" w:tplc="0E5AE9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4E4F0D"/>
    <w:multiLevelType w:val="hybridMultilevel"/>
    <w:tmpl w:val="DB90A866"/>
    <w:lvl w:ilvl="0" w:tplc="B9AEE3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F77F3D"/>
    <w:multiLevelType w:val="hybridMultilevel"/>
    <w:tmpl w:val="4C4A2364"/>
    <w:lvl w:ilvl="0" w:tplc="1A860700">
      <w:start w:val="1"/>
      <w:numFmt w:val="bullet"/>
      <w:lvlText w:val=""/>
      <w:lvlJc w:val="left"/>
      <w:pPr>
        <w:tabs>
          <w:tab w:val="num" w:pos="720"/>
        </w:tabs>
        <w:ind w:left="720" w:hanging="360"/>
      </w:pPr>
      <w:rPr>
        <w:rFonts w:ascii="Wingdings" w:hAnsi="Wingdings" w:hint="default"/>
      </w:rPr>
    </w:lvl>
    <w:lvl w:ilvl="1" w:tplc="E0D4DD08">
      <w:start w:val="1"/>
      <w:numFmt w:val="bullet"/>
      <w:lvlText w:val=""/>
      <w:lvlJc w:val="left"/>
      <w:pPr>
        <w:tabs>
          <w:tab w:val="num" w:pos="1440"/>
        </w:tabs>
        <w:ind w:left="1440" w:hanging="360"/>
      </w:pPr>
      <w:rPr>
        <w:rFonts w:ascii="Wingdings" w:hAnsi="Wingdings" w:hint="default"/>
      </w:rPr>
    </w:lvl>
    <w:lvl w:ilvl="2" w:tplc="3BF8F072" w:tentative="1">
      <w:start w:val="1"/>
      <w:numFmt w:val="bullet"/>
      <w:lvlText w:val=""/>
      <w:lvlJc w:val="left"/>
      <w:pPr>
        <w:tabs>
          <w:tab w:val="num" w:pos="2160"/>
        </w:tabs>
        <w:ind w:left="2160" w:hanging="360"/>
      </w:pPr>
      <w:rPr>
        <w:rFonts w:ascii="Wingdings" w:hAnsi="Wingdings" w:hint="default"/>
      </w:rPr>
    </w:lvl>
    <w:lvl w:ilvl="3" w:tplc="EFA41C5E" w:tentative="1">
      <w:start w:val="1"/>
      <w:numFmt w:val="bullet"/>
      <w:lvlText w:val=""/>
      <w:lvlJc w:val="left"/>
      <w:pPr>
        <w:tabs>
          <w:tab w:val="num" w:pos="2880"/>
        </w:tabs>
        <w:ind w:left="2880" w:hanging="360"/>
      </w:pPr>
      <w:rPr>
        <w:rFonts w:ascii="Wingdings" w:hAnsi="Wingdings" w:hint="default"/>
      </w:rPr>
    </w:lvl>
    <w:lvl w:ilvl="4" w:tplc="ABC63D60" w:tentative="1">
      <w:start w:val="1"/>
      <w:numFmt w:val="bullet"/>
      <w:lvlText w:val=""/>
      <w:lvlJc w:val="left"/>
      <w:pPr>
        <w:tabs>
          <w:tab w:val="num" w:pos="3600"/>
        </w:tabs>
        <w:ind w:left="3600" w:hanging="360"/>
      </w:pPr>
      <w:rPr>
        <w:rFonts w:ascii="Wingdings" w:hAnsi="Wingdings" w:hint="default"/>
      </w:rPr>
    </w:lvl>
    <w:lvl w:ilvl="5" w:tplc="00983632" w:tentative="1">
      <w:start w:val="1"/>
      <w:numFmt w:val="bullet"/>
      <w:lvlText w:val=""/>
      <w:lvlJc w:val="left"/>
      <w:pPr>
        <w:tabs>
          <w:tab w:val="num" w:pos="4320"/>
        </w:tabs>
        <w:ind w:left="4320" w:hanging="360"/>
      </w:pPr>
      <w:rPr>
        <w:rFonts w:ascii="Wingdings" w:hAnsi="Wingdings" w:hint="default"/>
      </w:rPr>
    </w:lvl>
    <w:lvl w:ilvl="6" w:tplc="8A568690" w:tentative="1">
      <w:start w:val="1"/>
      <w:numFmt w:val="bullet"/>
      <w:lvlText w:val=""/>
      <w:lvlJc w:val="left"/>
      <w:pPr>
        <w:tabs>
          <w:tab w:val="num" w:pos="5040"/>
        </w:tabs>
        <w:ind w:left="5040" w:hanging="360"/>
      </w:pPr>
      <w:rPr>
        <w:rFonts w:ascii="Wingdings" w:hAnsi="Wingdings" w:hint="default"/>
      </w:rPr>
    </w:lvl>
    <w:lvl w:ilvl="7" w:tplc="EC2290D6" w:tentative="1">
      <w:start w:val="1"/>
      <w:numFmt w:val="bullet"/>
      <w:lvlText w:val=""/>
      <w:lvlJc w:val="left"/>
      <w:pPr>
        <w:tabs>
          <w:tab w:val="num" w:pos="5760"/>
        </w:tabs>
        <w:ind w:left="5760" w:hanging="360"/>
      </w:pPr>
      <w:rPr>
        <w:rFonts w:ascii="Wingdings" w:hAnsi="Wingdings" w:hint="default"/>
      </w:rPr>
    </w:lvl>
    <w:lvl w:ilvl="8" w:tplc="DCAA16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34B70"/>
    <w:multiLevelType w:val="hybridMultilevel"/>
    <w:tmpl w:val="764CCEE0"/>
    <w:lvl w:ilvl="0" w:tplc="7BD8799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C16963"/>
    <w:multiLevelType w:val="hybridMultilevel"/>
    <w:tmpl w:val="AB6260A0"/>
    <w:lvl w:ilvl="0" w:tplc="123038A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290B5D"/>
    <w:multiLevelType w:val="hybridMultilevel"/>
    <w:tmpl w:val="1BFAB126"/>
    <w:lvl w:ilvl="0" w:tplc="B9AEE3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853FD0"/>
    <w:multiLevelType w:val="hybridMultilevel"/>
    <w:tmpl w:val="8A4AAFA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383D6A"/>
    <w:multiLevelType w:val="hybridMultilevel"/>
    <w:tmpl w:val="AC281E18"/>
    <w:lvl w:ilvl="0" w:tplc="DE6EA544">
      <w:start w:val="1"/>
      <w:numFmt w:val="bullet"/>
      <w:lvlText w:val=""/>
      <w:lvlPicBulletId w:val="0"/>
      <w:lvlJc w:val="left"/>
      <w:pPr>
        <w:tabs>
          <w:tab w:val="num" w:pos="720"/>
        </w:tabs>
        <w:ind w:left="720" w:hanging="360"/>
      </w:pPr>
      <w:rPr>
        <w:rFonts w:ascii="Symbol" w:hAnsi="Symbol" w:hint="default"/>
      </w:rPr>
    </w:lvl>
    <w:lvl w:ilvl="1" w:tplc="AC30512C" w:tentative="1">
      <w:start w:val="1"/>
      <w:numFmt w:val="bullet"/>
      <w:lvlText w:val=""/>
      <w:lvlJc w:val="left"/>
      <w:pPr>
        <w:tabs>
          <w:tab w:val="num" w:pos="1440"/>
        </w:tabs>
        <w:ind w:left="1440" w:hanging="360"/>
      </w:pPr>
      <w:rPr>
        <w:rFonts w:ascii="Symbol" w:hAnsi="Symbol" w:hint="default"/>
      </w:rPr>
    </w:lvl>
    <w:lvl w:ilvl="2" w:tplc="94EEE3CE" w:tentative="1">
      <w:start w:val="1"/>
      <w:numFmt w:val="bullet"/>
      <w:lvlText w:val=""/>
      <w:lvlJc w:val="left"/>
      <w:pPr>
        <w:tabs>
          <w:tab w:val="num" w:pos="2160"/>
        </w:tabs>
        <w:ind w:left="2160" w:hanging="360"/>
      </w:pPr>
      <w:rPr>
        <w:rFonts w:ascii="Symbol" w:hAnsi="Symbol" w:hint="default"/>
      </w:rPr>
    </w:lvl>
    <w:lvl w:ilvl="3" w:tplc="FE8AC1F2" w:tentative="1">
      <w:start w:val="1"/>
      <w:numFmt w:val="bullet"/>
      <w:lvlText w:val=""/>
      <w:lvlJc w:val="left"/>
      <w:pPr>
        <w:tabs>
          <w:tab w:val="num" w:pos="2880"/>
        </w:tabs>
        <w:ind w:left="2880" w:hanging="360"/>
      </w:pPr>
      <w:rPr>
        <w:rFonts w:ascii="Symbol" w:hAnsi="Symbol" w:hint="default"/>
      </w:rPr>
    </w:lvl>
    <w:lvl w:ilvl="4" w:tplc="0FD81DF8" w:tentative="1">
      <w:start w:val="1"/>
      <w:numFmt w:val="bullet"/>
      <w:lvlText w:val=""/>
      <w:lvlJc w:val="left"/>
      <w:pPr>
        <w:tabs>
          <w:tab w:val="num" w:pos="3600"/>
        </w:tabs>
        <w:ind w:left="3600" w:hanging="360"/>
      </w:pPr>
      <w:rPr>
        <w:rFonts w:ascii="Symbol" w:hAnsi="Symbol" w:hint="default"/>
      </w:rPr>
    </w:lvl>
    <w:lvl w:ilvl="5" w:tplc="2B9667D0" w:tentative="1">
      <w:start w:val="1"/>
      <w:numFmt w:val="bullet"/>
      <w:lvlText w:val=""/>
      <w:lvlJc w:val="left"/>
      <w:pPr>
        <w:tabs>
          <w:tab w:val="num" w:pos="4320"/>
        </w:tabs>
        <w:ind w:left="4320" w:hanging="360"/>
      </w:pPr>
      <w:rPr>
        <w:rFonts w:ascii="Symbol" w:hAnsi="Symbol" w:hint="default"/>
      </w:rPr>
    </w:lvl>
    <w:lvl w:ilvl="6" w:tplc="3124BFCA" w:tentative="1">
      <w:start w:val="1"/>
      <w:numFmt w:val="bullet"/>
      <w:lvlText w:val=""/>
      <w:lvlJc w:val="left"/>
      <w:pPr>
        <w:tabs>
          <w:tab w:val="num" w:pos="5040"/>
        </w:tabs>
        <w:ind w:left="5040" w:hanging="360"/>
      </w:pPr>
      <w:rPr>
        <w:rFonts w:ascii="Symbol" w:hAnsi="Symbol" w:hint="default"/>
      </w:rPr>
    </w:lvl>
    <w:lvl w:ilvl="7" w:tplc="341EBF5A" w:tentative="1">
      <w:start w:val="1"/>
      <w:numFmt w:val="bullet"/>
      <w:lvlText w:val=""/>
      <w:lvlJc w:val="left"/>
      <w:pPr>
        <w:tabs>
          <w:tab w:val="num" w:pos="5760"/>
        </w:tabs>
        <w:ind w:left="5760" w:hanging="360"/>
      </w:pPr>
      <w:rPr>
        <w:rFonts w:ascii="Symbol" w:hAnsi="Symbol" w:hint="default"/>
      </w:rPr>
    </w:lvl>
    <w:lvl w:ilvl="8" w:tplc="7E8A07E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87665F1"/>
    <w:multiLevelType w:val="hybridMultilevel"/>
    <w:tmpl w:val="3E4C7B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D65A2B"/>
    <w:multiLevelType w:val="hybridMultilevel"/>
    <w:tmpl w:val="BA68BCF0"/>
    <w:lvl w:ilvl="0" w:tplc="3E08025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814C39"/>
    <w:multiLevelType w:val="hybridMultilevel"/>
    <w:tmpl w:val="EFDA1426"/>
    <w:lvl w:ilvl="0" w:tplc="24789B94">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B9B22D2"/>
    <w:multiLevelType w:val="hybridMultilevel"/>
    <w:tmpl w:val="7E82B7AE"/>
    <w:lvl w:ilvl="0" w:tplc="4AE0FC4C">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5EE94D14"/>
    <w:multiLevelType w:val="hybridMultilevel"/>
    <w:tmpl w:val="658E5C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D54136"/>
    <w:multiLevelType w:val="hybridMultilevel"/>
    <w:tmpl w:val="C824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1C64B9"/>
    <w:multiLevelType w:val="hybridMultilevel"/>
    <w:tmpl w:val="8D78CDDA"/>
    <w:lvl w:ilvl="0" w:tplc="AA368172">
      <w:start w:val="1"/>
      <w:numFmt w:val="bullet"/>
      <w:lvlText w:val=""/>
      <w:lvlPicBulletId w:val="0"/>
      <w:lvlJc w:val="left"/>
      <w:pPr>
        <w:tabs>
          <w:tab w:val="num" w:pos="720"/>
        </w:tabs>
        <w:ind w:left="720" w:hanging="360"/>
      </w:pPr>
      <w:rPr>
        <w:rFonts w:ascii="Symbol" w:hAnsi="Symbol" w:hint="default"/>
      </w:rPr>
    </w:lvl>
    <w:lvl w:ilvl="1" w:tplc="998AECCC" w:tentative="1">
      <w:start w:val="1"/>
      <w:numFmt w:val="bullet"/>
      <w:lvlText w:val=""/>
      <w:lvlJc w:val="left"/>
      <w:pPr>
        <w:tabs>
          <w:tab w:val="num" w:pos="1440"/>
        </w:tabs>
        <w:ind w:left="1440" w:hanging="360"/>
      </w:pPr>
      <w:rPr>
        <w:rFonts w:ascii="Symbol" w:hAnsi="Symbol" w:hint="default"/>
      </w:rPr>
    </w:lvl>
    <w:lvl w:ilvl="2" w:tplc="F0ACB2DA" w:tentative="1">
      <w:start w:val="1"/>
      <w:numFmt w:val="bullet"/>
      <w:lvlText w:val=""/>
      <w:lvlJc w:val="left"/>
      <w:pPr>
        <w:tabs>
          <w:tab w:val="num" w:pos="2160"/>
        </w:tabs>
        <w:ind w:left="2160" w:hanging="360"/>
      </w:pPr>
      <w:rPr>
        <w:rFonts w:ascii="Symbol" w:hAnsi="Symbol" w:hint="default"/>
      </w:rPr>
    </w:lvl>
    <w:lvl w:ilvl="3" w:tplc="C2EA2D02" w:tentative="1">
      <w:start w:val="1"/>
      <w:numFmt w:val="bullet"/>
      <w:lvlText w:val=""/>
      <w:lvlJc w:val="left"/>
      <w:pPr>
        <w:tabs>
          <w:tab w:val="num" w:pos="2880"/>
        </w:tabs>
        <w:ind w:left="2880" w:hanging="360"/>
      </w:pPr>
      <w:rPr>
        <w:rFonts w:ascii="Symbol" w:hAnsi="Symbol" w:hint="default"/>
      </w:rPr>
    </w:lvl>
    <w:lvl w:ilvl="4" w:tplc="F4C00F8A" w:tentative="1">
      <w:start w:val="1"/>
      <w:numFmt w:val="bullet"/>
      <w:lvlText w:val=""/>
      <w:lvlJc w:val="left"/>
      <w:pPr>
        <w:tabs>
          <w:tab w:val="num" w:pos="3600"/>
        </w:tabs>
        <w:ind w:left="3600" w:hanging="360"/>
      </w:pPr>
      <w:rPr>
        <w:rFonts w:ascii="Symbol" w:hAnsi="Symbol" w:hint="default"/>
      </w:rPr>
    </w:lvl>
    <w:lvl w:ilvl="5" w:tplc="77DCAFF8" w:tentative="1">
      <w:start w:val="1"/>
      <w:numFmt w:val="bullet"/>
      <w:lvlText w:val=""/>
      <w:lvlJc w:val="left"/>
      <w:pPr>
        <w:tabs>
          <w:tab w:val="num" w:pos="4320"/>
        </w:tabs>
        <w:ind w:left="4320" w:hanging="360"/>
      </w:pPr>
      <w:rPr>
        <w:rFonts w:ascii="Symbol" w:hAnsi="Symbol" w:hint="default"/>
      </w:rPr>
    </w:lvl>
    <w:lvl w:ilvl="6" w:tplc="53E29EE0" w:tentative="1">
      <w:start w:val="1"/>
      <w:numFmt w:val="bullet"/>
      <w:lvlText w:val=""/>
      <w:lvlJc w:val="left"/>
      <w:pPr>
        <w:tabs>
          <w:tab w:val="num" w:pos="5040"/>
        </w:tabs>
        <w:ind w:left="5040" w:hanging="360"/>
      </w:pPr>
      <w:rPr>
        <w:rFonts w:ascii="Symbol" w:hAnsi="Symbol" w:hint="default"/>
      </w:rPr>
    </w:lvl>
    <w:lvl w:ilvl="7" w:tplc="89BC5A5A" w:tentative="1">
      <w:start w:val="1"/>
      <w:numFmt w:val="bullet"/>
      <w:lvlText w:val=""/>
      <w:lvlJc w:val="left"/>
      <w:pPr>
        <w:tabs>
          <w:tab w:val="num" w:pos="5760"/>
        </w:tabs>
        <w:ind w:left="5760" w:hanging="360"/>
      </w:pPr>
      <w:rPr>
        <w:rFonts w:ascii="Symbol" w:hAnsi="Symbol" w:hint="default"/>
      </w:rPr>
    </w:lvl>
    <w:lvl w:ilvl="8" w:tplc="9992DAD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6B27B6D"/>
    <w:multiLevelType w:val="hybridMultilevel"/>
    <w:tmpl w:val="AFBA0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193171"/>
    <w:multiLevelType w:val="hybridMultilevel"/>
    <w:tmpl w:val="E3D05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7B0659"/>
    <w:multiLevelType w:val="hybridMultilevel"/>
    <w:tmpl w:val="CAEEC1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3A7255"/>
    <w:multiLevelType w:val="hybridMultilevel"/>
    <w:tmpl w:val="607854CC"/>
    <w:lvl w:ilvl="0" w:tplc="BE4E2EF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5" w15:restartNumberingAfterBreak="0">
    <w:nsid w:val="76B4277D"/>
    <w:multiLevelType w:val="hybridMultilevel"/>
    <w:tmpl w:val="248ED222"/>
    <w:lvl w:ilvl="0" w:tplc="F89655BC">
      <w:start w:val="1"/>
      <w:numFmt w:val="bullet"/>
      <w:lvlText w:val=""/>
      <w:lvlPicBulletId w:val="0"/>
      <w:lvlJc w:val="left"/>
      <w:pPr>
        <w:tabs>
          <w:tab w:val="num" w:pos="720"/>
        </w:tabs>
        <w:ind w:left="720" w:hanging="360"/>
      </w:pPr>
      <w:rPr>
        <w:rFonts w:ascii="Symbol" w:hAnsi="Symbol" w:hint="default"/>
      </w:rPr>
    </w:lvl>
    <w:lvl w:ilvl="1" w:tplc="A84E58CC" w:tentative="1">
      <w:start w:val="1"/>
      <w:numFmt w:val="bullet"/>
      <w:lvlText w:val=""/>
      <w:lvlJc w:val="left"/>
      <w:pPr>
        <w:tabs>
          <w:tab w:val="num" w:pos="1440"/>
        </w:tabs>
        <w:ind w:left="1440" w:hanging="360"/>
      </w:pPr>
      <w:rPr>
        <w:rFonts w:ascii="Symbol" w:hAnsi="Symbol" w:hint="default"/>
      </w:rPr>
    </w:lvl>
    <w:lvl w:ilvl="2" w:tplc="213C4C22" w:tentative="1">
      <w:start w:val="1"/>
      <w:numFmt w:val="bullet"/>
      <w:lvlText w:val=""/>
      <w:lvlJc w:val="left"/>
      <w:pPr>
        <w:tabs>
          <w:tab w:val="num" w:pos="2160"/>
        </w:tabs>
        <w:ind w:left="2160" w:hanging="360"/>
      </w:pPr>
      <w:rPr>
        <w:rFonts w:ascii="Symbol" w:hAnsi="Symbol" w:hint="default"/>
      </w:rPr>
    </w:lvl>
    <w:lvl w:ilvl="3" w:tplc="1996CDDE" w:tentative="1">
      <w:start w:val="1"/>
      <w:numFmt w:val="bullet"/>
      <w:lvlText w:val=""/>
      <w:lvlJc w:val="left"/>
      <w:pPr>
        <w:tabs>
          <w:tab w:val="num" w:pos="2880"/>
        </w:tabs>
        <w:ind w:left="2880" w:hanging="360"/>
      </w:pPr>
      <w:rPr>
        <w:rFonts w:ascii="Symbol" w:hAnsi="Symbol" w:hint="default"/>
      </w:rPr>
    </w:lvl>
    <w:lvl w:ilvl="4" w:tplc="403A8256" w:tentative="1">
      <w:start w:val="1"/>
      <w:numFmt w:val="bullet"/>
      <w:lvlText w:val=""/>
      <w:lvlJc w:val="left"/>
      <w:pPr>
        <w:tabs>
          <w:tab w:val="num" w:pos="3600"/>
        </w:tabs>
        <w:ind w:left="3600" w:hanging="360"/>
      </w:pPr>
      <w:rPr>
        <w:rFonts w:ascii="Symbol" w:hAnsi="Symbol" w:hint="default"/>
      </w:rPr>
    </w:lvl>
    <w:lvl w:ilvl="5" w:tplc="A36CECA8" w:tentative="1">
      <w:start w:val="1"/>
      <w:numFmt w:val="bullet"/>
      <w:lvlText w:val=""/>
      <w:lvlJc w:val="left"/>
      <w:pPr>
        <w:tabs>
          <w:tab w:val="num" w:pos="4320"/>
        </w:tabs>
        <w:ind w:left="4320" w:hanging="360"/>
      </w:pPr>
      <w:rPr>
        <w:rFonts w:ascii="Symbol" w:hAnsi="Symbol" w:hint="default"/>
      </w:rPr>
    </w:lvl>
    <w:lvl w:ilvl="6" w:tplc="8700897A" w:tentative="1">
      <w:start w:val="1"/>
      <w:numFmt w:val="bullet"/>
      <w:lvlText w:val=""/>
      <w:lvlJc w:val="left"/>
      <w:pPr>
        <w:tabs>
          <w:tab w:val="num" w:pos="5040"/>
        </w:tabs>
        <w:ind w:left="5040" w:hanging="360"/>
      </w:pPr>
      <w:rPr>
        <w:rFonts w:ascii="Symbol" w:hAnsi="Symbol" w:hint="default"/>
      </w:rPr>
    </w:lvl>
    <w:lvl w:ilvl="7" w:tplc="738A0436" w:tentative="1">
      <w:start w:val="1"/>
      <w:numFmt w:val="bullet"/>
      <w:lvlText w:val=""/>
      <w:lvlJc w:val="left"/>
      <w:pPr>
        <w:tabs>
          <w:tab w:val="num" w:pos="5760"/>
        </w:tabs>
        <w:ind w:left="5760" w:hanging="360"/>
      </w:pPr>
      <w:rPr>
        <w:rFonts w:ascii="Symbol" w:hAnsi="Symbol" w:hint="default"/>
      </w:rPr>
    </w:lvl>
    <w:lvl w:ilvl="8" w:tplc="C7F0CD9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8FC372A"/>
    <w:multiLevelType w:val="hybridMultilevel"/>
    <w:tmpl w:val="37CAC282"/>
    <w:lvl w:ilvl="0" w:tplc="8D5C8E9A">
      <w:start w:val="1"/>
      <w:numFmt w:val="bullet"/>
      <w:lvlText w:val=""/>
      <w:lvlPicBulletId w:val="0"/>
      <w:lvlJc w:val="left"/>
      <w:pPr>
        <w:tabs>
          <w:tab w:val="num" w:pos="720"/>
        </w:tabs>
        <w:ind w:left="720" w:hanging="360"/>
      </w:pPr>
      <w:rPr>
        <w:rFonts w:ascii="Symbol" w:hAnsi="Symbol" w:hint="default"/>
        <w:sz w:val="22"/>
        <w:szCs w:val="22"/>
      </w:rPr>
    </w:lvl>
    <w:lvl w:ilvl="1" w:tplc="489C16CE" w:tentative="1">
      <w:start w:val="1"/>
      <w:numFmt w:val="bullet"/>
      <w:lvlText w:val=""/>
      <w:lvlJc w:val="left"/>
      <w:pPr>
        <w:tabs>
          <w:tab w:val="num" w:pos="1440"/>
        </w:tabs>
        <w:ind w:left="1440" w:hanging="360"/>
      </w:pPr>
      <w:rPr>
        <w:rFonts w:ascii="Symbol" w:hAnsi="Symbol" w:hint="default"/>
      </w:rPr>
    </w:lvl>
    <w:lvl w:ilvl="2" w:tplc="34B08A68" w:tentative="1">
      <w:start w:val="1"/>
      <w:numFmt w:val="bullet"/>
      <w:lvlText w:val=""/>
      <w:lvlJc w:val="left"/>
      <w:pPr>
        <w:tabs>
          <w:tab w:val="num" w:pos="2160"/>
        </w:tabs>
        <w:ind w:left="2160" w:hanging="360"/>
      </w:pPr>
      <w:rPr>
        <w:rFonts w:ascii="Symbol" w:hAnsi="Symbol" w:hint="default"/>
      </w:rPr>
    </w:lvl>
    <w:lvl w:ilvl="3" w:tplc="365E1BE4" w:tentative="1">
      <w:start w:val="1"/>
      <w:numFmt w:val="bullet"/>
      <w:lvlText w:val=""/>
      <w:lvlJc w:val="left"/>
      <w:pPr>
        <w:tabs>
          <w:tab w:val="num" w:pos="2880"/>
        </w:tabs>
        <w:ind w:left="2880" w:hanging="360"/>
      </w:pPr>
      <w:rPr>
        <w:rFonts w:ascii="Symbol" w:hAnsi="Symbol" w:hint="default"/>
      </w:rPr>
    </w:lvl>
    <w:lvl w:ilvl="4" w:tplc="53569DB6" w:tentative="1">
      <w:start w:val="1"/>
      <w:numFmt w:val="bullet"/>
      <w:lvlText w:val=""/>
      <w:lvlJc w:val="left"/>
      <w:pPr>
        <w:tabs>
          <w:tab w:val="num" w:pos="3600"/>
        </w:tabs>
        <w:ind w:left="3600" w:hanging="360"/>
      </w:pPr>
      <w:rPr>
        <w:rFonts w:ascii="Symbol" w:hAnsi="Symbol" w:hint="default"/>
      </w:rPr>
    </w:lvl>
    <w:lvl w:ilvl="5" w:tplc="C2B88E74" w:tentative="1">
      <w:start w:val="1"/>
      <w:numFmt w:val="bullet"/>
      <w:lvlText w:val=""/>
      <w:lvlJc w:val="left"/>
      <w:pPr>
        <w:tabs>
          <w:tab w:val="num" w:pos="4320"/>
        </w:tabs>
        <w:ind w:left="4320" w:hanging="360"/>
      </w:pPr>
      <w:rPr>
        <w:rFonts w:ascii="Symbol" w:hAnsi="Symbol" w:hint="default"/>
      </w:rPr>
    </w:lvl>
    <w:lvl w:ilvl="6" w:tplc="84DC5EFA" w:tentative="1">
      <w:start w:val="1"/>
      <w:numFmt w:val="bullet"/>
      <w:lvlText w:val=""/>
      <w:lvlJc w:val="left"/>
      <w:pPr>
        <w:tabs>
          <w:tab w:val="num" w:pos="5040"/>
        </w:tabs>
        <w:ind w:left="5040" w:hanging="360"/>
      </w:pPr>
      <w:rPr>
        <w:rFonts w:ascii="Symbol" w:hAnsi="Symbol" w:hint="default"/>
      </w:rPr>
    </w:lvl>
    <w:lvl w:ilvl="7" w:tplc="29BA4CBA" w:tentative="1">
      <w:start w:val="1"/>
      <w:numFmt w:val="bullet"/>
      <w:lvlText w:val=""/>
      <w:lvlJc w:val="left"/>
      <w:pPr>
        <w:tabs>
          <w:tab w:val="num" w:pos="5760"/>
        </w:tabs>
        <w:ind w:left="5760" w:hanging="360"/>
      </w:pPr>
      <w:rPr>
        <w:rFonts w:ascii="Symbol" w:hAnsi="Symbol" w:hint="default"/>
      </w:rPr>
    </w:lvl>
    <w:lvl w:ilvl="8" w:tplc="FD147790"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33"/>
  </w:num>
  <w:num w:numId="3">
    <w:abstractNumId w:val="5"/>
  </w:num>
  <w:num w:numId="4">
    <w:abstractNumId w:val="34"/>
  </w:num>
  <w:num w:numId="5">
    <w:abstractNumId w:val="26"/>
  </w:num>
  <w:num w:numId="6">
    <w:abstractNumId w:val="12"/>
  </w:num>
  <w:num w:numId="7">
    <w:abstractNumId w:val="3"/>
  </w:num>
  <w:num w:numId="8">
    <w:abstractNumId w:val="30"/>
  </w:num>
  <w:num w:numId="9">
    <w:abstractNumId w:val="0"/>
  </w:num>
  <w:num w:numId="10">
    <w:abstractNumId w:val="32"/>
  </w:num>
  <w:num w:numId="11">
    <w:abstractNumId w:val="20"/>
  </w:num>
  <w:num w:numId="12">
    <w:abstractNumId w:val="36"/>
  </w:num>
  <w:num w:numId="13">
    <w:abstractNumId w:val="17"/>
  </w:num>
  <w:num w:numId="14">
    <w:abstractNumId w:val="8"/>
  </w:num>
  <w:num w:numId="15">
    <w:abstractNumId w:val="13"/>
  </w:num>
  <w:num w:numId="16">
    <w:abstractNumId w:val="18"/>
  </w:num>
  <w:num w:numId="17">
    <w:abstractNumId w:val="23"/>
  </w:num>
  <w:num w:numId="18">
    <w:abstractNumId w:val="35"/>
  </w:num>
  <w:num w:numId="19">
    <w:abstractNumId w:val="2"/>
  </w:num>
  <w:num w:numId="20">
    <w:abstractNumId w:val="14"/>
  </w:num>
  <w:num w:numId="21">
    <w:abstractNumId w:val="4"/>
  </w:num>
  <w:num w:numId="22">
    <w:abstractNumId w:val="27"/>
  </w:num>
  <w:num w:numId="23">
    <w:abstractNumId w:val="1"/>
  </w:num>
  <w:num w:numId="24">
    <w:abstractNumId w:val="7"/>
  </w:num>
  <w:num w:numId="25">
    <w:abstractNumId w:val="22"/>
  </w:num>
  <w:num w:numId="26">
    <w:abstractNumId w:val="16"/>
  </w:num>
  <w:num w:numId="27">
    <w:abstractNumId w:val="29"/>
  </w:num>
  <w:num w:numId="28">
    <w:abstractNumId w:val="21"/>
  </w:num>
  <w:num w:numId="29">
    <w:abstractNumId w:val="6"/>
  </w:num>
  <w:num w:numId="30">
    <w:abstractNumId w:val="10"/>
  </w:num>
  <w:num w:numId="31">
    <w:abstractNumId w:val="9"/>
  </w:num>
  <w:num w:numId="32">
    <w:abstractNumId w:val="25"/>
  </w:num>
  <w:num w:numId="33">
    <w:abstractNumId w:val="31"/>
  </w:num>
  <w:num w:numId="34">
    <w:abstractNumId w:val="15"/>
  </w:num>
  <w:num w:numId="35">
    <w:abstractNumId w:val="28"/>
  </w:num>
  <w:num w:numId="36">
    <w:abstractNumId w:val="2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9D2"/>
    <w:rsid w:val="000016D5"/>
    <w:rsid w:val="0000495B"/>
    <w:rsid w:val="00004FD3"/>
    <w:rsid w:val="00006ADA"/>
    <w:rsid w:val="00007F16"/>
    <w:rsid w:val="00010A21"/>
    <w:rsid w:val="00012A8B"/>
    <w:rsid w:val="00013049"/>
    <w:rsid w:val="00014356"/>
    <w:rsid w:val="00014D84"/>
    <w:rsid w:val="00014FDC"/>
    <w:rsid w:val="00016A5E"/>
    <w:rsid w:val="00017D8B"/>
    <w:rsid w:val="00020260"/>
    <w:rsid w:val="00020789"/>
    <w:rsid w:val="00020A2A"/>
    <w:rsid w:val="00022832"/>
    <w:rsid w:val="00022C3E"/>
    <w:rsid w:val="00030630"/>
    <w:rsid w:val="000332A2"/>
    <w:rsid w:val="00035CCB"/>
    <w:rsid w:val="00035E5A"/>
    <w:rsid w:val="00035F26"/>
    <w:rsid w:val="0003709B"/>
    <w:rsid w:val="000373E4"/>
    <w:rsid w:val="00040B7E"/>
    <w:rsid w:val="00041AD6"/>
    <w:rsid w:val="00043EA9"/>
    <w:rsid w:val="000455D5"/>
    <w:rsid w:val="000455F9"/>
    <w:rsid w:val="00053A61"/>
    <w:rsid w:val="00053D46"/>
    <w:rsid w:val="00056CF1"/>
    <w:rsid w:val="00057C87"/>
    <w:rsid w:val="00060A5B"/>
    <w:rsid w:val="000616DF"/>
    <w:rsid w:val="0006358C"/>
    <w:rsid w:val="00064474"/>
    <w:rsid w:val="00064F01"/>
    <w:rsid w:val="00065837"/>
    <w:rsid w:val="00066502"/>
    <w:rsid w:val="000701A9"/>
    <w:rsid w:val="000715A5"/>
    <w:rsid w:val="00072AC6"/>
    <w:rsid w:val="00075F07"/>
    <w:rsid w:val="0007602C"/>
    <w:rsid w:val="00076728"/>
    <w:rsid w:val="00076734"/>
    <w:rsid w:val="00082838"/>
    <w:rsid w:val="00083991"/>
    <w:rsid w:val="00083FE5"/>
    <w:rsid w:val="00085397"/>
    <w:rsid w:val="00086487"/>
    <w:rsid w:val="00087BB0"/>
    <w:rsid w:val="00091A31"/>
    <w:rsid w:val="000952F6"/>
    <w:rsid w:val="00095F1B"/>
    <w:rsid w:val="000973CE"/>
    <w:rsid w:val="00097C60"/>
    <w:rsid w:val="000A12D1"/>
    <w:rsid w:val="000A387F"/>
    <w:rsid w:val="000A46CF"/>
    <w:rsid w:val="000A6DD1"/>
    <w:rsid w:val="000A7722"/>
    <w:rsid w:val="000B1F88"/>
    <w:rsid w:val="000B37B5"/>
    <w:rsid w:val="000B5FC8"/>
    <w:rsid w:val="000C1697"/>
    <w:rsid w:val="000C2D0C"/>
    <w:rsid w:val="000C33DE"/>
    <w:rsid w:val="000C4D82"/>
    <w:rsid w:val="000C56C5"/>
    <w:rsid w:val="000C6D76"/>
    <w:rsid w:val="000D07EE"/>
    <w:rsid w:val="000D0ECB"/>
    <w:rsid w:val="000D2FB8"/>
    <w:rsid w:val="000D3381"/>
    <w:rsid w:val="000D60AA"/>
    <w:rsid w:val="000D62D6"/>
    <w:rsid w:val="000E036B"/>
    <w:rsid w:val="000E1399"/>
    <w:rsid w:val="000E172A"/>
    <w:rsid w:val="000E2F0A"/>
    <w:rsid w:val="000E3A99"/>
    <w:rsid w:val="000E562E"/>
    <w:rsid w:val="000E7EB7"/>
    <w:rsid w:val="000F340B"/>
    <w:rsid w:val="000F3527"/>
    <w:rsid w:val="000F539A"/>
    <w:rsid w:val="00100995"/>
    <w:rsid w:val="001013E8"/>
    <w:rsid w:val="001051BE"/>
    <w:rsid w:val="0010766F"/>
    <w:rsid w:val="00107EC2"/>
    <w:rsid w:val="00111A24"/>
    <w:rsid w:val="00111EAF"/>
    <w:rsid w:val="00113DF4"/>
    <w:rsid w:val="00114364"/>
    <w:rsid w:val="0011481B"/>
    <w:rsid w:val="00117C0B"/>
    <w:rsid w:val="00121A45"/>
    <w:rsid w:val="0012433B"/>
    <w:rsid w:val="001245C6"/>
    <w:rsid w:val="00124A77"/>
    <w:rsid w:val="00124A97"/>
    <w:rsid w:val="00131AB4"/>
    <w:rsid w:val="00132A25"/>
    <w:rsid w:val="0013424E"/>
    <w:rsid w:val="00136870"/>
    <w:rsid w:val="001371F6"/>
    <w:rsid w:val="00137263"/>
    <w:rsid w:val="0013734C"/>
    <w:rsid w:val="001416A9"/>
    <w:rsid w:val="00141D3E"/>
    <w:rsid w:val="001420E2"/>
    <w:rsid w:val="00142C1E"/>
    <w:rsid w:val="00144357"/>
    <w:rsid w:val="00145472"/>
    <w:rsid w:val="001469FA"/>
    <w:rsid w:val="00147425"/>
    <w:rsid w:val="00150BFD"/>
    <w:rsid w:val="00151304"/>
    <w:rsid w:val="001521DB"/>
    <w:rsid w:val="001525C7"/>
    <w:rsid w:val="0015493F"/>
    <w:rsid w:val="00154EB7"/>
    <w:rsid w:val="00156AE3"/>
    <w:rsid w:val="0016041C"/>
    <w:rsid w:val="001611F4"/>
    <w:rsid w:val="00162245"/>
    <w:rsid w:val="0016290B"/>
    <w:rsid w:val="001646FA"/>
    <w:rsid w:val="0016487E"/>
    <w:rsid w:val="00165648"/>
    <w:rsid w:val="00166382"/>
    <w:rsid w:val="00167035"/>
    <w:rsid w:val="00167816"/>
    <w:rsid w:val="00170C05"/>
    <w:rsid w:val="00171B1E"/>
    <w:rsid w:val="001731EC"/>
    <w:rsid w:val="00173909"/>
    <w:rsid w:val="00174393"/>
    <w:rsid w:val="00174BC1"/>
    <w:rsid w:val="00176471"/>
    <w:rsid w:val="00176AC4"/>
    <w:rsid w:val="001777A2"/>
    <w:rsid w:val="001801D8"/>
    <w:rsid w:val="00181524"/>
    <w:rsid w:val="001852AC"/>
    <w:rsid w:val="001862D3"/>
    <w:rsid w:val="001864A9"/>
    <w:rsid w:val="00187DB8"/>
    <w:rsid w:val="00190B48"/>
    <w:rsid w:val="00191510"/>
    <w:rsid w:val="00191B42"/>
    <w:rsid w:val="00191C85"/>
    <w:rsid w:val="001933F9"/>
    <w:rsid w:val="00196B40"/>
    <w:rsid w:val="001A3364"/>
    <w:rsid w:val="001A3DC2"/>
    <w:rsid w:val="001B02C9"/>
    <w:rsid w:val="001B1950"/>
    <w:rsid w:val="001B2055"/>
    <w:rsid w:val="001B390E"/>
    <w:rsid w:val="001B40F3"/>
    <w:rsid w:val="001B4C1E"/>
    <w:rsid w:val="001B4DCA"/>
    <w:rsid w:val="001B74C0"/>
    <w:rsid w:val="001B7518"/>
    <w:rsid w:val="001C01C6"/>
    <w:rsid w:val="001C028A"/>
    <w:rsid w:val="001C0A09"/>
    <w:rsid w:val="001C1499"/>
    <w:rsid w:val="001C3310"/>
    <w:rsid w:val="001C40C7"/>
    <w:rsid w:val="001C7D42"/>
    <w:rsid w:val="001D140E"/>
    <w:rsid w:val="001D18DB"/>
    <w:rsid w:val="001D1DC1"/>
    <w:rsid w:val="001D2E96"/>
    <w:rsid w:val="001D38E2"/>
    <w:rsid w:val="001D4E46"/>
    <w:rsid w:val="001E28F4"/>
    <w:rsid w:val="001E2A3C"/>
    <w:rsid w:val="001E42B6"/>
    <w:rsid w:val="001E4BB3"/>
    <w:rsid w:val="001E55EA"/>
    <w:rsid w:val="001E6DBC"/>
    <w:rsid w:val="001E6EB7"/>
    <w:rsid w:val="001E7EED"/>
    <w:rsid w:val="001F0CA3"/>
    <w:rsid w:val="001F15B2"/>
    <w:rsid w:val="001F2F54"/>
    <w:rsid w:val="001F48FD"/>
    <w:rsid w:val="001F5B61"/>
    <w:rsid w:val="001F67F5"/>
    <w:rsid w:val="002027A5"/>
    <w:rsid w:val="00202864"/>
    <w:rsid w:val="00211501"/>
    <w:rsid w:val="00211A13"/>
    <w:rsid w:val="00213C9C"/>
    <w:rsid w:val="00214E59"/>
    <w:rsid w:val="002200C3"/>
    <w:rsid w:val="0022170E"/>
    <w:rsid w:val="00221B29"/>
    <w:rsid w:val="00224154"/>
    <w:rsid w:val="002250A1"/>
    <w:rsid w:val="00225498"/>
    <w:rsid w:val="00225832"/>
    <w:rsid w:val="00225B83"/>
    <w:rsid w:val="002273C0"/>
    <w:rsid w:val="00227FBD"/>
    <w:rsid w:val="002311FA"/>
    <w:rsid w:val="002336C1"/>
    <w:rsid w:val="0023495B"/>
    <w:rsid w:val="00235509"/>
    <w:rsid w:val="00235FC2"/>
    <w:rsid w:val="00237201"/>
    <w:rsid w:val="00240937"/>
    <w:rsid w:val="00240CF3"/>
    <w:rsid w:val="00241A76"/>
    <w:rsid w:val="002429BA"/>
    <w:rsid w:val="002447F9"/>
    <w:rsid w:val="0025187E"/>
    <w:rsid w:val="00252DCA"/>
    <w:rsid w:val="0025458A"/>
    <w:rsid w:val="002547FE"/>
    <w:rsid w:val="00254B7B"/>
    <w:rsid w:val="00254E7E"/>
    <w:rsid w:val="00255492"/>
    <w:rsid w:val="0026070B"/>
    <w:rsid w:val="00260CFE"/>
    <w:rsid w:val="002614C5"/>
    <w:rsid w:val="002652C9"/>
    <w:rsid w:val="002659DD"/>
    <w:rsid w:val="00265D3B"/>
    <w:rsid w:val="00270247"/>
    <w:rsid w:val="0027245E"/>
    <w:rsid w:val="002725D3"/>
    <w:rsid w:val="00272834"/>
    <w:rsid w:val="002731C7"/>
    <w:rsid w:val="002751C9"/>
    <w:rsid w:val="00284DA8"/>
    <w:rsid w:val="00284DB1"/>
    <w:rsid w:val="002851CB"/>
    <w:rsid w:val="00291117"/>
    <w:rsid w:val="002912B6"/>
    <w:rsid w:val="00292832"/>
    <w:rsid w:val="002945F2"/>
    <w:rsid w:val="00294C9C"/>
    <w:rsid w:val="00296B92"/>
    <w:rsid w:val="00296DCE"/>
    <w:rsid w:val="002A0FAC"/>
    <w:rsid w:val="002A3F76"/>
    <w:rsid w:val="002A473C"/>
    <w:rsid w:val="002A513F"/>
    <w:rsid w:val="002A5E86"/>
    <w:rsid w:val="002A5F6D"/>
    <w:rsid w:val="002A6385"/>
    <w:rsid w:val="002A733F"/>
    <w:rsid w:val="002A79DA"/>
    <w:rsid w:val="002B1018"/>
    <w:rsid w:val="002B12A4"/>
    <w:rsid w:val="002B3591"/>
    <w:rsid w:val="002B3B06"/>
    <w:rsid w:val="002B6E9A"/>
    <w:rsid w:val="002B761A"/>
    <w:rsid w:val="002B77ED"/>
    <w:rsid w:val="002C2570"/>
    <w:rsid w:val="002C547D"/>
    <w:rsid w:val="002C6B4E"/>
    <w:rsid w:val="002C7564"/>
    <w:rsid w:val="002D07D8"/>
    <w:rsid w:val="002D08B3"/>
    <w:rsid w:val="002D3AE2"/>
    <w:rsid w:val="002D4129"/>
    <w:rsid w:val="002D5069"/>
    <w:rsid w:val="002D54F7"/>
    <w:rsid w:val="002E165D"/>
    <w:rsid w:val="002E2AE7"/>
    <w:rsid w:val="002E4375"/>
    <w:rsid w:val="002F10E2"/>
    <w:rsid w:val="002F4BFD"/>
    <w:rsid w:val="002F5D12"/>
    <w:rsid w:val="002F75C4"/>
    <w:rsid w:val="0030059B"/>
    <w:rsid w:val="003011EF"/>
    <w:rsid w:val="0030467B"/>
    <w:rsid w:val="00306A11"/>
    <w:rsid w:val="00310C3F"/>
    <w:rsid w:val="00311036"/>
    <w:rsid w:val="003117E0"/>
    <w:rsid w:val="003131ED"/>
    <w:rsid w:val="00314E91"/>
    <w:rsid w:val="0031659A"/>
    <w:rsid w:val="003168BC"/>
    <w:rsid w:val="00317C23"/>
    <w:rsid w:val="003218D9"/>
    <w:rsid w:val="00321ADA"/>
    <w:rsid w:val="00325200"/>
    <w:rsid w:val="00330CBF"/>
    <w:rsid w:val="00330E21"/>
    <w:rsid w:val="0033182C"/>
    <w:rsid w:val="003331BF"/>
    <w:rsid w:val="00335A7C"/>
    <w:rsid w:val="003360F9"/>
    <w:rsid w:val="00336DC8"/>
    <w:rsid w:val="003377C2"/>
    <w:rsid w:val="0034186E"/>
    <w:rsid w:val="003450BB"/>
    <w:rsid w:val="00346635"/>
    <w:rsid w:val="00346C46"/>
    <w:rsid w:val="00350BDD"/>
    <w:rsid w:val="0035104F"/>
    <w:rsid w:val="003527B4"/>
    <w:rsid w:val="00353F5D"/>
    <w:rsid w:val="00354704"/>
    <w:rsid w:val="00354ACC"/>
    <w:rsid w:val="00355BA2"/>
    <w:rsid w:val="0035613B"/>
    <w:rsid w:val="003564E9"/>
    <w:rsid w:val="00360C81"/>
    <w:rsid w:val="00361D3E"/>
    <w:rsid w:val="0036254A"/>
    <w:rsid w:val="00362623"/>
    <w:rsid w:val="00363DFD"/>
    <w:rsid w:val="0036484A"/>
    <w:rsid w:val="00370843"/>
    <w:rsid w:val="00370885"/>
    <w:rsid w:val="00371566"/>
    <w:rsid w:val="00372F2B"/>
    <w:rsid w:val="0037353C"/>
    <w:rsid w:val="00374AD2"/>
    <w:rsid w:val="00374C50"/>
    <w:rsid w:val="003773D9"/>
    <w:rsid w:val="0038100A"/>
    <w:rsid w:val="0038263C"/>
    <w:rsid w:val="00387A8D"/>
    <w:rsid w:val="00390104"/>
    <w:rsid w:val="00393982"/>
    <w:rsid w:val="003944BF"/>
    <w:rsid w:val="003954C9"/>
    <w:rsid w:val="0039661C"/>
    <w:rsid w:val="00396A0A"/>
    <w:rsid w:val="003A30AE"/>
    <w:rsid w:val="003A41A3"/>
    <w:rsid w:val="003A4F4E"/>
    <w:rsid w:val="003A6CCB"/>
    <w:rsid w:val="003A7A6F"/>
    <w:rsid w:val="003B1103"/>
    <w:rsid w:val="003B46C8"/>
    <w:rsid w:val="003B4CC3"/>
    <w:rsid w:val="003B69F1"/>
    <w:rsid w:val="003B6DBF"/>
    <w:rsid w:val="003B7884"/>
    <w:rsid w:val="003C0361"/>
    <w:rsid w:val="003C1045"/>
    <w:rsid w:val="003C1FA6"/>
    <w:rsid w:val="003C210D"/>
    <w:rsid w:val="003C217C"/>
    <w:rsid w:val="003C4812"/>
    <w:rsid w:val="003C7DDC"/>
    <w:rsid w:val="003D141E"/>
    <w:rsid w:val="003D190C"/>
    <w:rsid w:val="003D2F07"/>
    <w:rsid w:val="003D53A2"/>
    <w:rsid w:val="003D5A7A"/>
    <w:rsid w:val="003D5B0D"/>
    <w:rsid w:val="003D5D18"/>
    <w:rsid w:val="003E0FC1"/>
    <w:rsid w:val="003E26C7"/>
    <w:rsid w:val="003E57E7"/>
    <w:rsid w:val="003E70EA"/>
    <w:rsid w:val="003E7420"/>
    <w:rsid w:val="003F15A9"/>
    <w:rsid w:val="003F2118"/>
    <w:rsid w:val="003F4B26"/>
    <w:rsid w:val="003F6BA6"/>
    <w:rsid w:val="003F7B9B"/>
    <w:rsid w:val="00400DA8"/>
    <w:rsid w:val="00403B5C"/>
    <w:rsid w:val="00407939"/>
    <w:rsid w:val="004100E2"/>
    <w:rsid w:val="00412319"/>
    <w:rsid w:val="00413AF5"/>
    <w:rsid w:val="00415075"/>
    <w:rsid w:val="0041687D"/>
    <w:rsid w:val="00417E4B"/>
    <w:rsid w:val="00420506"/>
    <w:rsid w:val="0042124F"/>
    <w:rsid w:val="0042219B"/>
    <w:rsid w:val="004242C9"/>
    <w:rsid w:val="00430938"/>
    <w:rsid w:val="00431F74"/>
    <w:rsid w:val="004339EA"/>
    <w:rsid w:val="00433CB7"/>
    <w:rsid w:val="004341CB"/>
    <w:rsid w:val="00434B8C"/>
    <w:rsid w:val="00434E89"/>
    <w:rsid w:val="00435F7C"/>
    <w:rsid w:val="0043673A"/>
    <w:rsid w:val="004367D1"/>
    <w:rsid w:val="0043686F"/>
    <w:rsid w:val="0043762B"/>
    <w:rsid w:val="00437EBF"/>
    <w:rsid w:val="00440600"/>
    <w:rsid w:val="00440B15"/>
    <w:rsid w:val="004413CD"/>
    <w:rsid w:val="00443965"/>
    <w:rsid w:val="00444093"/>
    <w:rsid w:val="00444973"/>
    <w:rsid w:val="0044703D"/>
    <w:rsid w:val="00452F56"/>
    <w:rsid w:val="0045434F"/>
    <w:rsid w:val="00457673"/>
    <w:rsid w:val="00460E41"/>
    <w:rsid w:val="004617A1"/>
    <w:rsid w:val="00461FFA"/>
    <w:rsid w:val="00463097"/>
    <w:rsid w:val="00463335"/>
    <w:rsid w:val="004634C7"/>
    <w:rsid w:val="00466587"/>
    <w:rsid w:val="00466A3F"/>
    <w:rsid w:val="00470727"/>
    <w:rsid w:val="00470DAF"/>
    <w:rsid w:val="0047301F"/>
    <w:rsid w:val="00473955"/>
    <w:rsid w:val="004753E4"/>
    <w:rsid w:val="00476F89"/>
    <w:rsid w:val="00477073"/>
    <w:rsid w:val="00483119"/>
    <w:rsid w:val="00483A9E"/>
    <w:rsid w:val="00486B63"/>
    <w:rsid w:val="00486FD9"/>
    <w:rsid w:val="00487C51"/>
    <w:rsid w:val="00487C7D"/>
    <w:rsid w:val="00490A85"/>
    <w:rsid w:val="00490F08"/>
    <w:rsid w:val="00492363"/>
    <w:rsid w:val="0049405B"/>
    <w:rsid w:val="00497081"/>
    <w:rsid w:val="004A19AA"/>
    <w:rsid w:val="004A1DD0"/>
    <w:rsid w:val="004A1E8F"/>
    <w:rsid w:val="004A5BB3"/>
    <w:rsid w:val="004A5C01"/>
    <w:rsid w:val="004A66B5"/>
    <w:rsid w:val="004A6FFE"/>
    <w:rsid w:val="004B145A"/>
    <w:rsid w:val="004B1A8E"/>
    <w:rsid w:val="004B1AF2"/>
    <w:rsid w:val="004B238A"/>
    <w:rsid w:val="004B441E"/>
    <w:rsid w:val="004B62AD"/>
    <w:rsid w:val="004C08FF"/>
    <w:rsid w:val="004C098B"/>
    <w:rsid w:val="004C0F04"/>
    <w:rsid w:val="004C1BE4"/>
    <w:rsid w:val="004C3187"/>
    <w:rsid w:val="004C3B36"/>
    <w:rsid w:val="004C3E74"/>
    <w:rsid w:val="004C3F0E"/>
    <w:rsid w:val="004C6090"/>
    <w:rsid w:val="004C68A2"/>
    <w:rsid w:val="004C7A7D"/>
    <w:rsid w:val="004D07F1"/>
    <w:rsid w:val="004D1DA1"/>
    <w:rsid w:val="004D1E35"/>
    <w:rsid w:val="004D2793"/>
    <w:rsid w:val="004D3AFD"/>
    <w:rsid w:val="004D5F99"/>
    <w:rsid w:val="004D6A4D"/>
    <w:rsid w:val="004D71EC"/>
    <w:rsid w:val="004D76BA"/>
    <w:rsid w:val="004D7939"/>
    <w:rsid w:val="004E0985"/>
    <w:rsid w:val="004E1C39"/>
    <w:rsid w:val="004E23EE"/>
    <w:rsid w:val="004E2F1E"/>
    <w:rsid w:val="004E3298"/>
    <w:rsid w:val="004E35EB"/>
    <w:rsid w:val="004E5FA2"/>
    <w:rsid w:val="004F0EAB"/>
    <w:rsid w:val="004F1A1B"/>
    <w:rsid w:val="004F1B85"/>
    <w:rsid w:val="004F23AF"/>
    <w:rsid w:val="004F2682"/>
    <w:rsid w:val="004F2C62"/>
    <w:rsid w:val="004F2EBC"/>
    <w:rsid w:val="004F4933"/>
    <w:rsid w:val="004F7A9F"/>
    <w:rsid w:val="004F7BF4"/>
    <w:rsid w:val="00500638"/>
    <w:rsid w:val="00501C77"/>
    <w:rsid w:val="00502711"/>
    <w:rsid w:val="005038B0"/>
    <w:rsid w:val="005103FB"/>
    <w:rsid w:val="00510FEC"/>
    <w:rsid w:val="00513CEB"/>
    <w:rsid w:val="0051442B"/>
    <w:rsid w:val="00516C79"/>
    <w:rsid w:val="005177ED"/>
    <w:rsid w:val="005229DE"/>
    <w:rsid w:val="00522EC3"/>
    <w:rsid w:val="005230E9"/>
    <w:rsid w:val="0052334A"/>
    <w:rsid w:val="00524419"/>
    <w:rsid w:val="00524B72"/>
    <w:rsid w:val="00526BAD"/>
    <w:rsid w:val="0053210F"/>
    <w:rsid w:val="005322A7"/>
    <w:rsid w:val="00536BA9"/>
    <w:rsid w:val="005400DB"/>
    <w:rsid w:val="005450B7"/>
    <w:rsid w:val="00552E51"/>
    <w:rsid w:val="005550DB"/>
    <w:rsid w:val="00561D07"/>
    <w:rsid w:val="0056218C"/>
    <w:rsid w:val="00562683"/>
    <w:rsid w:val="005658ED"/>
    <w:rsid w:val="005660E0"/>
    <w:rsid w:val="005661AD"/>
    <w:rsid w:val="005702FD"/>
    <w:rsid w:val="0057244B"/>
    <w:rsid w:val="00572EBE"/>
    <w:rsid w:val="00573468"/>
    <w:rsid w:val="005737CB"/>
    <w:rsid w:val="0057451B"/>
    <w:rsid w:val="00574EB6"/>
    <w:rsid w:val="00575720"/>
    <w:rsid w:val="0057681D"/>
    <w:rsid w:val="00577384"/>
    <w:rsid w:val="0057785C"/>
    <w:rsid w:val="005862E8"/>
    <w:rsid w:val="00586FFB"/>
    <w:rsid w:val="005909F0"/>
    <w:rsid w:val="00590A28"/>
    <w:rsid w:val="005942E1"/>
    <w:rsid w:val="00596308"/>
    <w:rsid w:val="00597881"/>
    <w:rsid w:val="005A06DF"/>
    <w:rsid w:val="005A3730"/>
    <w:rsid w:val="005A440E"/>
    <w:rsid w:val="005A61F4"/>
    <w:rsid w:val="005A634D"/>
    <w:rsid w:val="005A78D8"/>
    <w:rsid w:val="005B066B"/>
    <w:rsid w:val="005B1021"/>
    <w:rsid w:val="005B108C"/>
    <w:rsid w:val="005B12F9"/>
    <w:rsid w:val="005B1B2E"/>
    <w:rsid w:val="005B4206"/>
    <w:rsid w:val="005B48B1"/>
    <w:rsid w:val="005C49D2"/>
    <w:rsid w:val="005C78EA"/>
    <w:rsid w:val="005C79FC"/>
    <w:rsid w:val="005D1FEF"/>
    <w:rsid w:val="005D2379"/>
    <w:rsid w:val="005D40C1"/>
    <w:rsid w:val="005D7FF3"/>
    <w:rsid w:val="005E0B42"/>
    <w:rsid w:val="005E33C0"/>
    <w:rsid w:val="005E585B"/>
    <w:rsid w:val="005E63F2"/>
    <w:rsid w:val="005E7025"/>
    <w:rsid w:val="005E7D1D"/>
    <w:rsid w:val="005F0A26"/>
    <w:rsid w:val="005F168F"/>
    <w:rsid w:val="005F2DF6"/>
    <w:rsid w:val="005F4B6E"/>
    <w:rsid w:val="005F5853"/>
    <w:rsid w:val="006003E1"/>
    <w:rsid w:val="006006E7"/>
    <w:rsid w:val="00600F06"/>
    <w:rsid w:val="006027A0"/>
    <w:rsid w:val="006035B8"/>
    <w:rsid w:val="00604136"/>
    <w:rsid w:val="006052D1"/>
    <w:rsid w:val="006066FC"/>
    <w:rsid w:val="00606FF1"/>
    <w:rsid w:val="00610693"/>
    <w:rsid w:val="00614860"/>
    <w:rsid w:val="00615E22"/>
    <w:rsid w:val="006165B0"/>
    <w:rsid w:val="006169BA"/>
    <w:rsid w:val="0061763A"/>
    <w:rsid w:val="00617AB4"/>
    <w:rsid w:val="00620340"/>
    <w:rsid w:val="00620976"/>
    <w:rsid w:val="00621A05"/>
    <w:rsid w:val="00621AD4"/>
    <w:rsid w:val="00622DE6"/>
    <w:rsid w:val="006238D7"/>
    <w:rsid w:val="00623C45"/>
    <w:rsid w:val="0062424F"/>
    <w:rsid w:val="006250FC"/>
    <w:rsid w:val="00625B86"/>
    <w:rsid w:val="0062649A"/>
    <w:rsid w:val="00627966"/>
    <w:rsid w:val="00632135"/>
    <w:rsid w:val="00633265"/>
    <w:rsid w:val="006360B0"/>
    <w:rsid w:val="00640CA8"/>
    <w:rsid w:val="00643972"/>
    <w:rsid w:val="00647C75"/>
    <w:rsid w:val="0065109C"/>
    <w:rsid w:val="00653939"/>
    <w:rsid w:val="00653F9D"/>
    <w:rsid w:val="00654FCC"/>
    <w:rsid w:val="006552F1"/>
    <w:rsid w:val="006569A9"/>
    <w:rsid w:val="006603C4"/>
    <w:rsid w:val="006604FA"/>
    <w:rsid w:val="00660579"/>
    <w:rsid w:val="006643F3"/>
    <w:rsid w:val="006664B3"/>
    <w:rsid w:val="0066705B"/>
    <w:rsid w:val="00671772"/>
    <w:rsid w:val="00675651"/>
    <w:rsid w:val="00676A3E"/>
    <w:rsid w:val="00677805"/>
    <w:rsid w:val="00677B13"/>
    <w:rsid w:val="006809B1"/>
    <w:rsid w:val="00683793"/>
    <w:rsid w:val="00685D92"/>
    <w:rsid w:val="00686EE7"/>
    <w:rsid w:val="0069135A"/>
    <w:rsid w:val="006932A0"/>
    <w:rsid w:val="006952E7"/>
    <w:rsid w:val="00695F3C"/>
    <w:rsid w:val="006A0485"/>
    <w:rsid w:val="006A1FEB"/>
    <w:rsid w:val="006A2174"/>
    <w:rsid w:val="006A3942"/>
    <w:rsid w:val="006A445D"/>
    <w:rsid w:val="006A489A"/>
    <w:rsid w:val="006A5ED5"/>
    <w:rsid w:val="006A67C2"/>
    <w:rsid w:val="006A7943"/>
    <w:rsid w:val="006B1362"/>
    <w:rsid w:val="006B3283"/>
    <w:rsid w:val="006B3377"/>
    <w:rsid w:val="006B4F04"/>
    <w:rsid w:val="006B5414"/>
    <w:rsid w:val="006B5649"/>
    <w:rsid w:val="006B7573"/>
    <w:rsid w:val="006C209E"/>
    <w:rsid w:val="006C4E25"/>
    <w:rsid w:val="006C5413"/>
    <w:rsid w:val="006C58BB"/>
    <w:rsid w:val="006C5FB3"/>
    <w:rsid w:val="006C69EF"/>
    <w:rsid w:val="006D2277"/>
    <w:rsid w:val="006D309E"/>
    <w:rsid w:val="006D3A6C"/>
    <w:rsid w:val="006E0C3C"/>
    <w:rsid w:val="006E46AF"/>
    <w:rsid w:val="006F01E5"/>
    <w:rsid w:val="006F0D98"/>
    <w:rsid w:val="006F0F07"/>
    <w:rsid w:val="006F25BC"/>
    <w:rsid w:val="006F30DA"/>
    <w:rsid w:val="006F3DED"/>
    <w:rsid w:val="006F3E1E"/>
    <w:rsid w:val="006F50DC"/>
    <w:rsid w:val="006F6487"/>
    <w:rsid w:val="006F6EA6"/>
    <w:rsid w:val="006F75D4"/>
    <w:rsid w:val="00700270"/>
    <w:rsid w:val="007005DB"/>
    <w:rsid w:val="00705822"/>
    <w:rsid w:val="00706D0E"/>
    <w:rsid w:val="0070755C"/>
    <w:rsid w:val="00707E1F"/>
    <w:rsid w:val="007103A7"/>
    <w:rsid w:val="0071120E"/>
    <w:rsid w:val="007148DF"/>
    <w:rsid w:val="00714B6E"/>
    <w:rsid w:val="007153CA"/>
    <w:rsid w:val="0071543C"/>
    <w:rsid w:val="00715EA7"/>
    <w:rsid w:val="00716003"/>
    <w:rsid w:val="00716C35"/>
    <w:rsid w:val="00721D4E"/>
    <w:rsid w:val="00722ABD"/>
    <w:rsid w:val="007236DD"/>
    <w:rsid w:val="00723C83"/>
    <w:rsid w:val="0072619F"/>
    <w:rsid w:val="00727BF7"/>
    <w:rsid w:val="00727CCB"/>
    <w:rsid w:val="00730194"/>
    <w:rsid w:val="0073028F"/>
    <w:rsid w:val="00730BB6"/>
    <w:rsid w:val="00732C87"/>
    <w:rsid w:val="00733492"/>
    <w:rsid w:val="00734074"/>
    <w:rsid w:val="00737BC2"/>
    <w:rsid w:val="007420AA"/>
    <w:rsid w:val="00742457"/>
    <w:rsid w:val="00742BBD"/>
    <w:rsid w:val="00743D3C"/>
    <w:rsid w:val="00744B3A"/>
    <w:rsid w:val="00744DC5"/>
    <w:rsid w:val="00745593"/>
    <w:rsid w:val="0075134B"/>
    <w:rsid w:val="00754483"/>
    <w:rsid w:val="0075711E"/>
    <w:rsid w:val="00757E99"/>
    <w:rsid w:val="007607B5"/>
    <w:rsid w:val="00760A5A"/>
    <w:rsid w:val="007615B6"/>
    <w:rsid w:val="007622A4"/>
    <w:rsid w:val="00762F98"/>
    <w:rsid w:val="0076393B"/>
    <w:rsid w:val="007676BB"/>
    <w:rsid w:val="00770062"/>
    <w:rsid w:val="007702C2"/>
    <w:rsid w:val="007702CC"/>
    <w:rsid w:val="0077105C"/>
    <w:rsid w:val="00772D26"/>
    <w:rsid w:val="00773BCC"/>
    <w:rsid w:val="00776249"/>
    <w:rsid w:val="00780AB4"/>
    <w:rsid w:val="0078314F"/>
    <w:rsid w:val="007842D4"/>
    <w:rsid w:val="0078545A"/>
    <w:rsid w:val="00790A12"/>
    <w:rsid w:val="00790E08"/>
    <w:rsid w:val="00791EAB"/>
    <w:rsid w:val="00792AFB"/>
    <w:rsid w:val="00792D50"/>
    <w:rsid w:val="00793890"/>
    <w:rsid w:val="00793AFF"/>
    <w:rsid w:val="00794031"/>
    <w:rsid w:val="00795D18"/>
    <w:rsid w:val="00795FBF"/>
    <w:rsid w:val="00796DB7"/>
    <w:rsid w:val="00797700"/>
    <w:rsid w:val="007A0FC4"/>
    <w:rsid w:val="007A133F"/>
    <w:rsid w:val="007A1EE5"/>
    <w:rsid w:val="007A5071"/>
    <w:rsid w:val="007A6283"/>
    <w:rsid w:val="007A65F3"/>
    <w:rsid w:val="007B0D71"/>
    <w:rsid w:val="007B6258"/>
    <w:rsid w:val="007B6DB4"/>
    <w:rsid w:val="007B6FD5"/>
    <w:rsid w:val="007B70B7"/>
    <w:rsid w:val="007B74A8"/>
    <w:rsid w:val="007B7FA5"/>
    <w:rsid w:val="007C0DED"/>
    <w:rsid w:val="007C1540"/>
    <w:rsid w:val="007C189D"/>
    <w:rsid w:val="007C2358"/>
    <w:rsid w:val="007C2513"/>
    <w:rsid w:val="007C6DF2"/>
    <w:rsid w:val="007C71A3"/>
    <w:rsid w:val="007C7B85"/>
    <w:rsid w:val="007D263A"/>
    <w:rsid w:val="007D351F"/>
    <w:rsid w:val="007D3863"/>
    <w:rsid w:val="007D4077"/>
    <w:rsid w:val="007D4BD5"/>
    <w:rsid w:val="007D4CC5"/>
    <w:rsid w:val="007D56F6"/>
    <w:rsid w:val="007D59C9"/>
    <w:rsid w:val="007D6442"/>
    <w:rsid w:val="007D67BF"/>
    <w:rsid w:val="007D7347"/>
    <w:rsid w:val="007E2803"/>
    <w:rsid w:val="007E538F"/>
    <w:rsid w:val="007E55DF"/>
    <w:rsid w:val="007E7060"/>
    <w:rsid w:val="007E7674"/>
    <w:rsid w:val="007F087D"/>
    <w:rsid w:val="007F1742"/>
    <w:rsid w:val="007F2916"/>
    <w:rsid w:val="007F2FFF"/>
    <w:rsid w:val="007F3DFF"/>
    <w:rsid w:val="007F459E"/>
    <w:rsid w:val="007F4A36"/>
    <w:rsid w:val="007F5C54"/>
    <w:rsid w:val="00801FAE"/>
    <w:rsid w:val="0080268A"/>
    <w:rsid w:val="00804A84"/>
    <w:rsid w:val="00813071"/>
    <w:rsid w:val="0081466A"/>
    <w:rsid w:val="0081497E"/>
    <w:rsid w:val="00814F71"/>
    <w:rsid w:val="00820A18"/>
    <w:rsid w:val="008211FA"/>
    <w:rsid w:val="00823395"/>
    <w:rsid w:val="00823B37"/>
    <w:rsid w:val="00823BEA"/>
    <w:rsid w:val="00824FA0"/>
    <w:rsid w:val="0082768B"/>
    <w:rsid w:val="008308E6"/>
    <w:rsid w:val="0083135D"/>
    <w:rsid w:val="0083158F"/>
    <w:rsid w:val="00831D44"/>
    <w:rsid w:val="00833B37"/>
    <w:rsid w:val="00833CAF"/>
    <w:rsid w:val="00836733"/>
    <w:rsid w:val="00836F95"/>
    <w:rsid w:val="00841C07"/>
    <w:rsid w:val="008431FD"/>
    <w:rsid w:val="008437C9"/>
    <w:rsid w:val="008451DF"/>
    <w:rsid w:val="00846064"/>
    <w:rsid w:val="008464A1"/>
    <w:rsid w:val="008474D2"/>
    <w:rsid w:val="00851ECB"/>
    <w:rsid w:val="00854B5D"/>
    <w:rsid w:val="00854CFA"/>
    <w:rsid w:val="008554CA"/>
    <w:rsid w:val="00856473"/>
    <w:rsid w:val="00856C11"/>
    <w:rsid w:val="00856FA2"/>
    <w:rsid w:val="008579D8"/>
    <w:rsid w:val="0086189A"/>
    <w:rsid w:val="00862DD6"/>
    <w:rsid w:val="008646C4"/>
    <w:rsid w:val="008704C0"/>
    <w:rsid w:val="00871C8D"/>
    <w:rsid w:val="00872878"/>
    <w:rsid w:val="00872FA9"/>
    <w:rsid w:val="0087387B"/>
    <w:rsid w:val="00874025"/>
    <w:rsid w:val="00874917"/>
    <w:rsid w:val="00876233"/>
    <w:rsid w:val="00877214"/>
    <w:rsid w:val="00880534"/>
    <w:rsid w:val="0088095A"/>
    <w:rsid w:val="008838CF"/>
    <w:rsid w:val="00883E3F"/>
    <w:rsid w:val="008871DC"/>
    <w:rsid w:val="00890599"/>
    <w:rsid w:val="0089107C"/>
    <w:rsid w:val="00891109"/>
    <w:rsid w:val="00893471"/>
    <w:rsid w:val="008938A8"/>
    <w:rsid w:val="00893B8B"/>
    <w:rsid w:val="00895588"/>
    <w:rsid w:val="008955FD"/>
    <w:rsid w:val="008A0BE1"/>
    <w:rsid w:val="008A0F2C"/>
    <w:rsid w:val="008A15A0"/>
    <w:rsid w:val="008A1A24"/>
    <w:rsid w:val="008A4E3A"/>
    <w:rsid w:val="008A5BB6"/>
    <w:rsid w:val="008A796F"/>
    <w:rsid w:val="008A7E43"/>
    <w:rsid w:val="008B00AD"/>
    <w:rsid w:val="008B0CBD"/>
    <w:rsid w:val="008B1392"/>
    <w:rsid w:val="008B3B2C"/>
    <w:rsid w:val="008B4323"/>
    <w:rsid w:val="008B6633"/>
    <w:rsid w:val="008C1947"/>
    <w:rsid w:val="008C4466"/>
    <w:rsid w:val="008C53C4"/>
    <w:rsid w:val="008C6B00"/>
    <w:rsid w:val="008C71D1"/>
    <w:rsid w:val="008C73D0"/>
    <w:rsid w:val="008D2F2F"/>
    <w:rsid w:val="008D34E7"/>
    <w:rsid w:val="008D5516"/>
    <w:rsid w:val="008D6AAA"/>
    <w:rsid w:val="008D78C6"/>
    <w:rsid w:val="008D790B"/>
    <w:rsid w:val="008E06C1"/>
    <w:rsid w:val="008E2DB7"/>
    <w:rsid w:val="008E3932"/>
    <w:rsid w:val="008E3E9B"/>
    <w:rsid w:val="008E4608"/>
    <w:rsid w:val="008E6218"/>
    <w:rsid w:val="008E79DA"/>
    <w:rsid w:val="008F0151"/>
    <w:rsid w:val="008F1174"/>
    <w:rsid w:val="008F12B4"/>
    <w:rsid w:val="008F37EF"/>
    <w:rsid w:val="008F3997"/>
    <w:rsid w:val="008F39B6"/>
    <w:rsid w:val="008F3FFC"/>
    <w:rsid w:val="008F64B0"/>
    <w:rsid w:val="008F6B33"/>
    <w:rsid w:val="0090051B"/>
    <w:rsid w:val="0090171A"/>
    <w:rsid w:val="00902B59"/>
    <w:rsid w:val="00903662"/>
    <w:rsid w:val="009037CE"/>
    <w:rsid w:val="00904461"/>
    <w:rsid w:val="009076A7"/>
    <w:rsid w:val="00912625"/>
    <w:rsid w:val="00912AEC"/>
    <w:rsid w:val="009131DE"/>
    <w:rsid w:val="00913F6A"/>
    <w:rsid w:val="00914201"/>
    <w:rsid w:val="00914D64"/>
    <w:rsid w:val="0091514B"/>
    <w:rsid w:val="0091585D"/>
    <w:rsid w:val="00916B4B"/>
    <w:rsid w:val="0092009E"/>
    <w:rsid w:val="0092081F"/>
    <w:rsid w:val="0092237D"/>
    <w:rsid w:val="00924BB8"/>
    <w:rsid w:val="00926F88"/>
    <w:rsid w:val="00927C5D"/>
    <w:rsid w:val="00930FF9"/>
    <w:rsid w:val="00932916"/>
    <w:rsid w:val="009333CA"/>
    <w:rsid w:val="00934E75"/>
    <w:rsid w:val="00935079"/>
    <w:rsid w:val="00936195"/>
    <w:rsid w:val="009367C2"/>
    <w:rsid w:val="0093730E"/>
    <w:rsid w:val="009378C4"/>
    <w:rsid w:val="00941EAA"/>
    <w:rsid w:val="00942B0C"/>
    <w:rsid w:val="00943FCA"/>
    <w:rsid w:val="0094437B"/>
    <w:rsid w:val="00944B9B"/>
    <w:rsid w:val="00950A64"/>
    <w:rsid w:val="00950BAC"/>
    <w:rsid w:val="00950E44"/>
    <w:rsid w:val="00953337"/>
    <w:rsid w:val="00953BFD"/>
    <w:rsid w:val="00954243"/>
    <w:rsid w:val="00955F75"/>
    <w:rsid w:val="009571D2"/>
    <w:rsid w:val="00960A7B"/>
    <w:rsid w:val="00963A33"/>
    <w:rsid w:val="00966E7F"/>
    <w:rsid w:val="00971933"/>
    <w:rsid w:val="00971E81"/>
    <w:rsid w:val="00972587"/>
    <w:rsid w:val="00974120"/>
    <w:rsid w:val="00976B96"/>
    <w:rsid w:val="0098009B"/>
    <w:rsid w:val="0098065F"/>
    <w:rsid w:val="00981FBC"/>
    <w:rsid w:val="00984739"/>
    <w:rsid w:val="00984BEF"/>
    <w:rsid w:val="00984D8D"/>
    <w:rsid w:val="00984F83"/>
    <w:rsid w:val="00984F98"/>
    <w:rsid w:val="0098505E"/>
    <w:rsid w:val="00987B60"/>
    <w:rsid w:val="009919C9"/>
    <w:rsid w:val="00991C02"/>
    <w:rsid w:val="00991C4D"/>
    <w:rsid w:val="00993B55"/>
    <w:rsid w:val="00994F54"/>
    <w:rsid w:val="00995ADC"/>
    <w:rsid w:val="00995CF2"/>
    <w:rsid w:val="009A07A7"/>
    <w:rsid w:val="009A2C9E"/>
    <w:rsid w:val="009A5B60"/>
    <w:rsid w:val="009A71B7"/>
    <w:rsid w:val="009B0E9E"/>
    <w:rsid w:val="009B23DC"/>
    <w:rsid w:val="009B50CE"/>
    <w:rsid w:val="009B552E"/>
    <w:rsid w:val="009B6271"/>
    <w:rsid w:val="009C46DE"/>
    <w:rsid w:val="009C6DF2"/>
    <w:rsid w:val="009C7CA0"/>
    <w:rsid w:val="009D0677"/>
    <w:rsid w:val="009D19F7"/>
    <w:rsid w:val="009D3442"/>
    <w:rsid w:val="009D3F3B"/>
    <w:rsid w:val="009D44BB"/>
    <w:rsid w:val="009D460B"/>
    <w:rsid w:val="009D5882"/>
    <w:rsid w:val="009D65E4"/>
    <w:rsid w:val="009D7677"/>
    <w:rsid w:val="009E07D5"/>
    <w:rsid w:val="009E1EA4"/>
    <w:rsid w:val="009E27A3"/>
    <w:rsid w:val="009E4688"/>
    <w:rsid w:val="009E4EA7"/>
    <w:rsid w:val="009E6ACA"/>
    <w:rsid w:val="009F27EE"/>
    <w:rsid w:val="009F326A"/>
    <w:rsid w:val="009F53BA"/>
    <w:rsid w:val="009F5AD3"/>
    <w:rsid w:val="009F7DC4"/>
    <w:rsid w:val="00A00072"/>
    <w:rsid w:val="00A004FC"/>
    <w:rsid w:val="00A01D10"/>
    <w:rsid w:val="00A01DC4"/>
    <w:rsid w:val="00A01FA0"/>
    <w:rsid w:val="00A03268"/>
    <w:rsid w:val="00A03CFD"/>
    <w:rsid w:val="00A04693"/>
    <w:rsid w:val="00A052E9"/>
    <w:rsid w:val="00A05B8A"/>
    <w:rsid w:val="00A06BF6"/>
    <w:rsid w:val="00A10332"/>
    <w:rsid w:val="00A108C3"/>
    <w:rsid w:val="00A11829"/>
    <w:rsid w:val="00A1188B"/>
    <w:rsid w:val="00A15442"/>
    <w:rsid w:val="00A161D6"/>
    <w:rsid w:val="00A23A3E"/>
    <w:rsid w:val="00A27FC2"/>
    <w:rsid w:val="00A30FF6"/>
    <w:rsid w:val="00A315C4"/>
    <w:rsid w:val="00A31EAD"/>
    <w:rsid w:val="00A33432"/>
    <w:rsid w:val="00A3446C"/>
    <w:rsid w:val="00A34AEE"/>
    <w:rsid w:val="00A36CE8"/>
    <w:rsid w:val="00A37176"/>
    <w:rsid w:val="00A3767F"/>
    <w:rsid w:val="00A41E97"/>
    <w:rsid w:val="00A44D63"/>
    <w:rsid w:val="00A458AB"/>
    <w:rsid w:val="00A45F39"/>
    <w:rsid w:val="00A4613E"/>
    <w:rsid w:val="00A470C8"/>
    <w:rsid w:val="00A47551"/>
    <w:rsid w:val="00A47923"/>
    <w:rsid w:val="00A502C3"/>
    <w:rsid w:val="00A5158E"/>
    <w:rsid w:val="00A52BF2"/>
    <w:rsid w:val="00A56E65"/>
    <w:rsid w:val="00A57115"/>
    <w:rsid w:val="00A61FE7"/>
    <w:rsid w:val="00A652A3"/>
    <w:rsid w:val="00A66821"/>
    <w:rsid w:val="00A66E36"/>
    <w:rsid w:val="00A73D1A"/>
    <w:rsid w:val="00A7447B"/>
    <w:rsid w:val="00A75453"/>
    <w:rsid w:val="00A754F8"/>
    <w:rsid w:val="00A75F5C"/>
    <w:rsid w:val="00A76A7E"/>
    <w:rsid w:val="00A77057"/>
    <w:rsid w:val="00A7745E"/>
    <w:rsid w:val="00A77A2B"/>
    <w:rsid w:val="00A816CC"/>
    <w:rsid w:val="00A85A62"/>
    <w:rsid w:val="00A8600B"/>
    <w:rsid w:val="00A87C52"/>
    <w:rsid w:val="00A91B83"/>
    <w:rsid w:val="00A924E7"/>
    <w:rsid w:val="00A93779"/>
    <w:rsid w:val="00A940C7"/>
    <w:rsid w:val="00A9486E"/>
    <w:rsid w:val="00A95A88"/>
    <w:rsid w:val="00A96576"/>
    <w:rsid w:val="00A96B47"/>
    <w:rsid w:val="00A96FE3"/>
    <w:rsid w:val="00A9724A"/>
    <w:rsid w:val="00AA07EA"/>
    <w:rsid w:val="00AA0DBB"/>
    <w:rsid w:val="00AA19A6"/>
    <w:rsid w:val="00AA2D18"/>
    <w:rsid w:val="00AB0A61"/>
    <w:rsid w:val="00AB0AD6"/>
    <w:rsid w:val="00AB2BCC"/>
    <w:rsid w:val="00AB3724"/>
    <w:rsid w:val="00AB53E9"/>
    <w:rsid w:val="00AB5DD3"/>
    <w:rsid w:val="00AB6C6F"/>
    <w:rsid w:val="00AB756B"/>
    <w:rsid w:val="00AC2D58"/>
    <w:rsid w:val="00AC3B90"/>
    <w:rsid w:val="00AC5ADC"/>
    <w:rsid w:val="00AC670A"/>
    <w:rsid w:val="00AD056B"/>
    <w:rsid w:val="00AD0ECF"/>
    <w:rsid w:val="00AD23CE"/>
    <w:rsid w:val="00AD3D0E"/>
    <w:rsid w:val="00AD43A6"/>
    <w:rsid w:val="00AD6E36"/>
    <w:rsid w:val="00AE0773"/>
    <w:rsid w:val="00AE105F"/>
    <w:rsid w:val="00AE27F5"/>
    <w:rsid w:val="00AE53B2"/>
    <w:rsid w:val="00AE55D9"/>
    <w:rsid w:val="00AE67A6"/>
    <w:rsid w:val="00AF1009"/>
    <w:rsid w:val="00AF1CBB"/>
    <w:rsid w:val="00AF25C5"/>
    <w:rsid w:val="00AF38C4"/>
    <w:rsid w:val="00AF3E34"/>
    <w:rsid w:val="00AF5DB3"/>
    <w:rsid w:val="00AF670B"/>
    <w:rsid w:val="00B0062D"/>
    <w:rsid w:val="00B0310A"/>
    <w:rsid w:val="00B0347D"/>
    <w:rsid w:val="00B0357E"/>
    <w:rsid w:val="00B038EB"/>
    <w:rsid w:val="00B06B8E"/>
    <w:rsid w:val="00B07177"/>
    <w:rsid w:val="00B11819"/>
    <w:rsid w:val="00B13F15"/>
    <w:rsid w:val="00B13F16"/>
    <w:rsid w:val="00B14956"/>
    <w:rsid w:val="00B1556C"/>
    <w:rsid w:val="00B17C4B"/>
    <w:rsid w:val="00B22074"/>
    <w:rsid w:val="00B226F6"/>
    <w:rsid w:val="00B23A8B"/>
    <w:rsid w:val="00B24B43"/>
    <w:rsid w:val="00B25C03"/>
    <w:rsid w:val="00B3269D"/>
    <w:rsid w:val="00B3319C"/>
    <w:rsid w:val="00B35AE0"/>
    <w:rsid w:val="00B373A9"/>
    <w:rsid w:val="00B425E6"/>
    <w:rsid w:val="00B426C3"/>
    <w:rsid w:val="00B42700"/>
    <w:rsid w:val="00B43C7A"/>
    <w:rsid w:val="00B45589"/>
    <w:rsid w:val="00B47A00"/>
    <w:rsid w:val="00B502DC"/>
    <w:rsid w:val="00B512D1"/>
    <w:rsid w:val="00B51CFF"/>
    <w:rsid w:val="00B521F5"/>
    <w:rsid w:val="00B54CBF"/>
    <w:rsid w:val="00B55713"/>
    <w:rsid w:val="00B5756F"/>
    <w:rsid w:val="00B60DB7"/>
    <w:rsid w:val="00B61465"/>
    <w:rsid w:val="00B6232D"/>
    <w:rsid w:val="00B658CB"/>
    <w:rsid w:val="00B65968"/>
    <w:rsid w:val="00B70778"/>
    <w:rsid w:val="00B70DF5"/>
    <w:rsid w:val="00B729B8"/>
    <w:rsid w:val="00B73A16"/>
    <w:rsid w:val="00B74616"/>
    <w:rsid w:val="00B749BB"/>
    <w:rsid w:val="00B7529E"/>
    <w:rsid w:val="00B75ABE"/>
    <w:rsid w:val="00B76EFA"/>
    <w:rsid w:val="00B81364"/>
    <w:rsid w:val="00B81B64"/>
    <w:rsid w:val="00B82C91"/>
    <w:rsid w:val="00B82E7A"/>
    <w:rsid w:val="00B849BB"/>
    <w:rsid w:val="00B84AD1"/>
    <w:rsid w:val="00B85662"/>
    <w:rsid w:val="00B86DA1"/>
    <w:rsid w:val="00B86F20"/>
    <w:rsid w:val="00B871E3"/>
    <w:rsid w:val="00B901A8"/>
    <w:rsid w:val="00B92012"/>
    <w:rsid w:val="00B935ED"/>
    <w:rsid w:val="00B94CDD"/>
    <w:rsid w:val="00B955E4"/>
    <w:rsid w:val="00BA2726"/>
    <w:rsid w:val="00BB0DBE"/>
    <w:rsid w:val="00BB1FF1"/>
    <w:rsid w:val="00BB44CA"/>
    <w:rsid w:val="00BB4A4D"/>
    <w:rsid w:val="00BB5CD3"/>
    <w:rsid w:val="00BB7512"/>
    <w:rsid w:val="00BB7AF7"/>
    <w:rsid w:val="00BC0E04"/>
    <w:rsid w:val="00BC18DF"/>
    <w:rsid w:val="00BC4721"/>
    <w:rsid w:val="00BC67B9"/>
    <w:rsid w:val="00BD1408"/>
    <w:rsid w:val="00BD2308"/>
    <w:rsid w:val="00BD3875"/>
    <w:rsid w:val="00BD3CC0"/>
    <w:rsid w:val="00BD4494"/>
    <w:rsid w:val="00BD5B9F"/>
    <w:rsid w:val="00BD7417"/>
    <w:rsid w:val="00BE0EFA"/>
    <w:rsid w:val="00BE1213"/>
    <w:rsid w:val="00BE21AE"/>
    <w:rsid w:val="00BE227C"/>
    <w:rsid w:val="00BE31B7"/>
    <w:rsid w:val="00BE5B9F"/>
    <w:rsid w:val="00BF2346"/>
    <w:rsid w:val="00BF2B50"/>
    <w:rsid w:val="00BF4C05"/>
    <w:rsid w:val="00BF5394"/>
    <w:rsid w:val="00BF5DFF"/>
    <w:rsid w:val="00BF5E33"/>
    <w:rsid w:val="00BF661F"/>
    <w:rsid w:val="00BF7717"/>
    <w:rsid w:val="00BF7A8C"/>
    <w:rsid w:val="00C00756"/>
    <w:rsid w:val="00C01913"/>
    <w:rsid w:val="00C01DAB"/>
    <w:rsid w:val="00C057F9"/>
    <w:rsid w:val="00C062B3"/>
    <w:rsid w:val="00C116EE"/>
    <w:rsid w:val="00C11953"/>
    <w:rsid w:val="00C11C37"/>
    <w:rsid w:val="00C128C3"/>
    <w:rsid w:val="00C12EC8"/>
    <w:rsid w:val="00C141D4"/>
    <w:rsid w:val="00C1667A"/>
    <w:rsid w:val="00C20965"/>
    <w:rsid w:val="00C20C13"/>
    <w:rsid w:val="00C21668"/>
    <w:rsid w:val="00C21719"/>
    <w:rsid w:val="00C2243D"/>
    <w:rsid w:val="00C227A3"/>
    <w:rsid w:val="00C232B6"/>
    <w:rsid w:val="00C24039"/>
    <w:rsid w:val="00C24AF5"/>
    <w:rsid w:val="00C26FAC"/>
    <w:rsid w:val="00C27420"/>
    <w:rsid w:val="00C31670"/>
    <w:rsid w:val="00C3233B"/>
    <w:rsid w:val="00C32B8E"/>
    <w:rsid w:val="00C32CC3"/>
    <w:rsid w:val="00C34B57"/>
    <w:rsid w:val="00C377D3"/>
    <w:rsid w:val="00C408CB"/>
    <w:rsid w:val="00C42502"/>
    <w:rsid w:val="00C4357E"/>
    <w:rsid w:val="00C4460A"/>
    <w:rsid w:val="00C503C1"/>
    <w:rsid w:val="00C512F6"/>
    <w:rsid w:val="00C53F62"/>
    <w:rsid w:val="00C557AF"/>
    <w:rsid w:val="00C56DCC"/>
    <w:rsid w:val="00C57867"/>
    <w:rsid w:val="00C605A0"/>
    <w:rsid w:val="00C61342"/>
    <w:rsid w:val="00C62DFB"/>
    <w:rsid w:val="00C632C8"/>
    <w:rsid w:val="00C64F25"/>
    <w:rsid w:val="00C712BD"/>
    <w:rsid w:val="00C715F7"/>
    <w:rsid w:val="00C728F2"/>
    <w:rsid w:val="00C73340"/>
    <w:rsid w:val="00C767F7"/>
    <w:rsid w:val="00C77F62"/>
    <w:rsid w:val="00C8242A"/>
    <w:rsid w:val="00C8255E"/>
    <w:rsid w:val="00C83D34"/>
    <w:rsid w:val="00C84CF7"/>
    <w:rsid w:val="00C85147"/>
    <w:rsid w:val="00C85226"/>
    <w:rsid w:val="00C85844"/>
    <w:rsid w:val="00C8622C"/>
    <w:rsid w:val="00C869CF"/>
    <w:rsid w:val="00C91FB0"/>
    <w:rsid w:val="00C9320F"/>
    <w:rsid w:val="00C93429"/>
    <w:rsid w:val="00C93C69"/>
    <w:rsid w:val="00C93DDD"/>
    <w:rsid w:val="00C96525"/>
    <w:rsid w:val="00C97288"/>
    <w:rsid w:val="00C97D45"/>
    <w:rsid w:val="00CA154F"/>
    <w:rsid w:val="00CA5B7F"/>
    <w:rsid w:val="00CB0651"/>
    <w:rsid w:val="00CB4736"/>
    <w:rsid w:val="00CB4EBE"/>
    <w:rsid w:val="00CB6114"/>
    <w:rsid w:val="00CB7424"/>
    <w:rsid w:val="00CB773C"/>
    <w:rsid w:val="00CB7A55"/>
    <w:rsid w:val="00CC1B84"/>
    <w:rsid w:val="00CC3113"/>
    <w:rsid w:val="00CC34C7"/>
    <w:rsid w:val="00CC3950"/>
    <w:rsid w:val="00CD0249"/>
    <w:rsid w:val="00CD192B"/>
    <w:rsid w:val="00CD5636"/>
    <w:rsid w:val="00CE2FA4"/>
    <w:rsid w:val="00CE36BF"/>
    <w:rsid w:val="00CE3820"/>
    <w:rsid w:val="00CE593C"/>
    <w:rsid w:val="00CE613F"/>
    <w:rsid w:val="00CE626A"/>
    <w:rsid w:val="00CF1155"/>
    <w:rsid w:val="00CF3D27"/>
    <w:rsid w:val="00CF5897"/>
    <w:rsid w:val="00CF62D0"/>
    <w:rsid w:val="00CF6305"/>
    <w:rsid w:val="00CF6DE4"/>
    <w:rsid w:val="00D0188D"/>
    <w:rsid w:val="00D02567"/>
    <w:rsid w:val="00D03B25"/>
    <w:rsid w:val="00D0542B"/>
    <w:rsid w:val="00D05CF2"/>
    <w:rsid w:val="00D103E5"/>
    <w:rsid w:val="00D115A3"/>
    <w:rsid w:val="00D16607"/>
    <w:rsid w:val="00D2242D"/>
    <w:rsid w:val="00D23E2B"/>
    <w:rsid w:val="00D246C9"/>
    <w:rsid w:val="00D25DCD"/>
    <w:rsid w:val="00D278E2"/>
    <w:rsid w:val="00D27E17"/>
    <w:rsid w:val="00D306A0"/>
    <w:rsid w:val="00D40E23"/>
    <w:rsid w:val="00D41E7E"/>
    <w:rsid w:val="00D427A9"/>
    <w:rsid w:val="00D42EB2"/>
    <w:rsid w:val="00D4416C"/>
    <w:rsid w:val="00D4627B"/>
    <w:rsid w:val="00D51CBC"/>
    <w:rsid w:val="00D53946"/>
    <w:rsid w:val="00D53B29"/>
    <w:rsid w:val="00D54E3B"/>
    <w:rsid w:val="00D565D8"/>
    <w:rsid w:val="00D56F29"/>
    <w:rsid w:val="00D57C5E"/>
    <w:rsid w:val="00D60A1E"/>
    <w:rsid w:val="00D60DF9"/>
    <w:rsid w:val="00D6262F"/>
    <w:rsid w:val="00D62742"/>
    <w:rsid w:val="00D63792"/>
    <w:rsid w:val="00D648C8"/>
    <w:rsid w:val="00D65E6E"/>
    <w:rsid w:val="00D66F83"/>
    <w:rsid w:val="00D6710E"/>
    <w:rsid w:val="00D679F5"/>
    <w:rsid w:val="00D67EDF"/>
    <w:rsid w:val="00D726F0"/>
    <w:rsid w:val="00D72F34"/>
    <w:rsid w:val="00D74806"/>
    <w:rsid w:val="00D7480E"/>
    <w:rsid w:val="00D7622D"/>
    <w:rsid w:val="00D80100"/>
    <w:rsid w:val="00D81C55"/>
    <w:rsid w:val="00D82231"/>
    <w:rsid w:val="00D848EF"/>
    <w:rsid w:val="00D86D73"/>
    <w:rsid w:val="00D90B44"/>
    <w:rsid w:val="00D93CE3"/>
    <w:rsid w:val="00DA020F"/>
    <w:rsid w:val="00DA02F5"/>
    <w:rsid w:val="00DA1BEC"/>
    <w:rsid w:val="00DA28CC"/>
    <w:rsid w:val="00DA52F8"/>
    <w:rsid w:val="00DA6D56"/>
    <w:rsid w:val="00DA78D5"/>
    <w:rsid w:val="00DB0690"/>
    <w:rsid w:val="00DB1E95"/>
    <w:rsid w:val="00DB2476"/>
    <w:rsid w:val="00DB3C85"/>
    <w:rsid w:val="00DB53B2"/>
    <w:rsid w:val="00DB7987"/>
    <w:rsid w:val="00DC008E"/>
    <w:rsid w:val="00DC1ED4"/>
    <w:rsid w:val="00DC2D5B"/>
    <w:rsid w:val="00DC3367"/>
    <w:rsid w:val="00DC3FA6"/>
    <w:rsid w:val="00DC42B4"/>
    <w:rsid w:val="00DC55C0"/>
    <w:rsid w:val="00DC57E5"/>
    <w:rsid w:val="00DC57EE"/>
    <w:rsid w:val="00DC6983"/>
    <w:rsid w:val="00DD0CDF"/>
    <w:rsid w:val="00DD0F8A"/>
    <w:rsid w:val="00DD1F6C"/>
    <w:rsid w:val="00DD247C"/>
    <w:rsid w:val="00DD3ADF"/>
    <w:rsid w:val="00DD3C69"/>
    <w:rsid w:val="00DD7C4B"/>
    <w:rsid w:val="00DE419C"/>
    <w:rsid w:val="00DE594B"/>
    <w:rsid w:val="00DF08A1"/>
    <w:rsid w:val="00DF0B3E"/>
    <w:rsid w:val="00DF5723"/>
    <w:rsid w:val="00DF7868"/>
    <w:rsid w:val="00E0061A"/>
    <w:rsid w:val="00E03AB1"/>
    <w:rsid w:val="00E073D5"/>
    <w:rsid w:val="00E07FA6"/>
    <w:rsid w:val="00E101D3"/>
    <w:rsid w:val="00E13969"/>
    <w:rsid w:val="00E13CE5"/>
    <w:rsid w:val="00E159BF"/>
    <w:rsid w:val="00E17096"/>
    <w:rsid w:val="00E20BF0"/>
    <w:rsid w:val="00E2145C"/>
    <w:rsid w:val="00E22EA6"/>
    <w:rsid w:val="00E2525E"/>
    <w:rsid w:val="00E254DF"/>
    <w:rsid w:val="00E270AE"/>
    <w:rsid w:val="00E30FA9"/>
    <w:rsid w:val="00E31294"/>
    <w:rsid w:val="00E316FF"/>
    <w:rsid w:val="00E35C8D"/>
    <w:rsid w:val="00E36A99"/>
    <w:rsid w:val="00E4227A"/>
    <w:rsid w:val="00E42DC0"/>
    <w:rsid w:val="00E445C2"/>
    <w:rsid w:val="00E451DB"/>
    <w:rsid w:val="00E45AB4"/>
    <w:rsid w:val="00E50953"/>
    <w:rsid w:val="00E5203C"/>
    <w:rsid w:val="00E523B2"/>
    <w:rsid w:val="00E5307C"/>
    <w:rsid w:val="00E53B26"/>
    <w:rsid w:val="00E542F6"/>
    <w:rsid w:val="00E54CA2"/>
    <w:rsid w:val="00E55FB0"/>
    <w:rsid w:val="00E561EA"/>
    <w:rsid w:val="00E56DEC"/>
    <w:rsid w:val="00E614F4"/>
    <w:rsid w:val="00E61839"/>
    <w:rsid w:val="00E6205B"/>
    <w:rsid w:val="00E652E6"/>
    <w:rsid w:val="00E65E95"/>
    <w:rsid w:val="00E70E86"/>
    <w:rsid w:val="00E71FB0"/>
    <w:rsid w:val="00E7326E"/>
    <w:rsid w:val="00E73D8B"/>
    <w:rsid w:val="00E73E62"/>
    <w:rsid w:val="00E75BB9"/>
    <w:rsid w:val="00E7609E"/>
    <w:rsid w:val="00E76199"/>
    <w:rsid w:val="00E761B1"/>
    <w:rsid w:val="00E817D1"/>
    <w:rsid w:val="00E824CB"/>
    <w:rsid w:val="00E8281B"/>
    <w:rsid w:val="00E833FE"/>
    <w:rsid w:val="00E8361A"/>
    <w:rsid w:val="00E840FB"/>
    <w:rsid w:val="00E84ED1"/>
    <w:rsid w:val="00E85395"/>
    <w:rsid w:val="00E854E9"/>
    <w:rsid w:val="00E85B74"/>
    <w:rsid w:val="00E861A4"/>
    <w:rsid w:val="00E877CB"/>
    <w:rsid w:val="00E90D48"/>
    <w:rsid w:val="00E93A51"/>
    <w:rsid w:val="00E94C28"/>
    <w:rsid w:val="00E9636B"/>
    <w:rsid w:val="00EA1C1C"/>
    <w:rsid w:val="00EA6DC4"/>
    <w:rsid w:val="00EB1577"/>
    <w:rsid w:val="00EB2011"/>
    <w:rsid w:val="00EB2298"/>
    <w:rsid w:val="00EB334F"/>
    <w:rsid w:val="00EB4AA6"/>
    <w:rsid w:val="00EB5AA1"/>
    <w:rsid w:val="00EB749F"/>
    <w:rsid w:val="00EC06D4"/>
    <w:rsid w:val="00EC0C9D"/>
    <w:rsid w:val="00EC0EB1"/>
    <w:rsid w:val="00EC1D14"/>
    <w:rsid w:val="00EC1E5B"/>
    <w:rsid w:val="00EC5738"/>
    <w:rsid w:val="00EC68C4"/>
    <w:rsid w:val="00ED1BDC"/>
    <w:rsid w:val="00ED28B3"/>
    <w:rsid w:val="00ED2AA4"/>
    <w:rsid w:val="00ED5475"/>
    <w:rsid w:val="00ED568F"/>
    <w:rsid w:val="00ED773B"/>
    <w:rsid w:val="00EE01DB"/>
    <w:rsid w:val="00EE1836"/>
    <w:rsid w:val="00EE460F"/>
    <w:rsid w:val="00EE5521"/>
    <w:rsid w:val="00EE7913"/>
    <w:rsid w:val="00EF26B9"/>
    <w:rsid w:val="00EF36CD"/>
    <w:rsid w:val="00EF5A87"/>
    <w:rsid w:val="00EF5AAE"/>
    <w:rsid w:val="00EF75FF"/>
    <w:rsid w:val="00F00479"/>
    <w:rsid w:val="00F005D9"/>
    <w:rsid w:val="00F0199F"/>
    <w:rsid w:val="00F03B8E"/>
    <w:rsid w:val="00F049B9"/>
    <w:rsid w:val="00F05AA9"/>
    <w:rsid w:val="00F07D42"/>
    <w:rsid w:val="00F07E50"/>
    <w:rsid w:val="00F12E21"/>
    <w:rsid w:val="00F142C3"/>
    <w:rsid w:val="00F145AE"/>
    <w:rsid w:val="00F14BA3"/>
    <w:rsid w:val="00F16FC8"/>
    <w:rsid w:val="00F20659"/>
    <w:rsid w:val="00F21B2F"/>
    <w:rsid w:val="00F21FBD"/>
    <w:rsid w:val="00F22540"/>
    <w:rsid w:val="00F228FA"/>
    <w:rsid w:val="00F24D71"/>
    <w:rsid w:val="00F25E7B"/>
    <w:rsid w:val="00F30658"/>
    <w:rsid w:val="00F30B2A"/>
    <w:rsid w:val="00F32DE2"/>
    <w:rsid w:val="00F33E38"/>
    <w:rsid w:val="00F36054"/>
    <w:rsid w:val="00F360FA"/>
    <w:rsid w:val="00F362C9"/>
    <w:rsid w:val="00F36713"/>
    <w:rsid w:val="00F40034"/>
    <w:rsid w:val="00F4410B"/>
    <w:rsid w:val="00F459A2"/>
    <w:rsid w:val="00F46BFB"/>
    <w:rsid w:val="00F47D3D"/>
    <w:rsid w:val="00F51438"/>
    <w:rsid w:val="00F515D0"/>
    <w:rsid w:val="00F520C0"/>
    <w:rsid w:val="00F52624"/>
    <w:rsid w:val="00F528BC"/>
    <w:rsid w:val="00F52F55"/>
    <w:rsid w:val="00F53798"/>
    <w:rsid w:val="00F53CBD"/>
    <w:rsid w:val="00F542F3"/>
    <w:rsid w:val="00F553D4"/>
    <w:rsid w:val="00F5638A"/>
    <w:rsid w:val="00F5762D"/>
    <w:rsid w:val="00F57F10"/>
    <w:rsid w:val="00F63A0D"/>
    <w:rsid w:val="00F64A5D"/>
    <w:rsid w:val="00F6603C"/>
    <w:rsid w:val="00F66900"/>
    <w:rsid w:val="00F70B0B"/>
    <w:rsid w:val="00F71172"/>
    <w:rsid w:val="00F71903"/>
    <w:rsid w:val="00F7256A"/>
    <w:rsid w:val="00F72D7E"/>
    <w:rsid w:val="00F73B9E"/>
    <w:rsid w:val="00F742F1"/>
    <w:rsid w:val="00F75682"/>
    <w:rsid w:val="00F771E8"/>
    <w:rsid w:val="00F77293"/>
    <w:rsid w:val="00F809FC"/>
    <w:rsid w:val="00F80C21"/>
    <w:rsid w:val="00F810E6"/>
    <w:rsid w:val="00F81546"/>
    <w:rsid w:val="00F823F6"/>
    <w:rsid w:val="00F83808"/>
    <w:rsid w:val="00F8388F"/>
    <w:rsid w:val="00F84A70"/>
    <w:rsid w:val="00F84EB8"/>
    <w:rsid w:val="00F86253"/>
    <w:rsid w:val="00F86D37"/>
    <w:rsid w:val="00F909F7"/>
    <w:rsid w:val="00F93094"/>
    <w:rsid w:val="00F9422A"/>
    <w:rsid w:val="00F94710"/>
    <w:rsid w:val="00F94AA2"/>
    <w:rsid w:val="00F94B5A"/>
    <w:rsid w:val="00F95A5B"/>
    <w:rsid w:val="00F96B4C"/>
    <w:rsid w:val="00F97D3D"/>
    <w:rsid w:val="00FA12F3"/>
    <w:rsid w:val="00FA1AE4"/>
    <w:rsid w:val="00FA2282"/>
    <w:rsid w:val="00FA7403"/>
    <w:rsid w:val="00FB18E9"/>
    <w:rsid w:val="00FB1B34"/>
    <w:rsid w:val="00FB1B68"/>
    <w:rsid w:val="00FB361D"/>
    <w:rsid w:val="00FB36A2"/>
    <w:rsid w:val="00FB4107"/>
    <w:rsid w:val="00FB47DD"/>
    <w:rsid w:val="00FB564E"/>
    <w:rsid w:val="00FB626A"/>
    <w:rsid w:val="00FC12A1"/>
    <w:rsid w:val="00FC284E"/>
    <w:rsid w:val="00FC2E99"/>
    <w:rsid w:val="00FC358F"/>
    <w:rsid w:val="00FC5603"/>
    <w:rsid w:val="00FC5EC4"/>
    <w:rsid w:val="00FD5A97"/>
    <w:rsid w:val="00FE07B7"/>
    <w:rsid w:val="00FE2EDC"/>
    <w:rsid w:val="00FE3045"/>
    <w:rsid w:val="00FE378A"/>
    <w:rsid w:val="00FE5FAE"/>
    <w:rsid w:val="00FE6A3B"/>
    <w:rsid w:val="00FE6F46"/>
    <w:rsid w:val="00FE7A61"/>
    <w:rsid w:val="00FF0094"/>
    <w:rsid w:val="00FF0119"/>
    <w:rsid w:val="00FF1315"/>
    <w:rsid w:val="00FF2F4C"/>
    <w:rsid w:val="00FF5BDB"/>
    <w:rsid w:val="00FF66DE"/>
    <w:rsid w:val="00FF6C7B"/>
    <w:rsid w:val="00FF7002"/>
    <w:rsid w:val="00FF7386"/>
    <w:rsid w:val="00FF7693"/>
    <w:rsid w:val="00FF7E7C"/>
    <w:rsid w:val="00FF7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11EC1"/>
  <w15:docId w15:val="{19A4D5C9-9416-4BED-AC57-AD11FE1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D2"/>
    <w:rPr>
      <w:sz w:val="24"/>
      <w:szCs w:val="24"/>
    </w:rPr>
  </w:style>
  <w:style w:type="paragraph" w:styleId="Titre1">
    <w:name w:val="heading 1"/>
    <w:basedOn w:val="Normal"/>
    <w:next w:val="Normal"/>
    <w:link w:val="Titre1Car"/>
    <w:uiPriority w:val="9"/>
    <w:qFormat/>
    <w:rsid w:val="00572EBE"/>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1C40C7"/>
    <w:pPr>
      <w:keepNext/>
      <w:spacing w:before="240" w:after="60"/>
      <w:outlineLvl w:val="1"/>
    </w:pPr>
    <w:rPr>
      <w:rFonts w:ascii="Arial" w:hAnsi="Arial" w:cs="Arial"/>
      <w:b/>
      <w:bCs/>
      <w:i/>
      <w:iCs/>
      <w:sz w:val="28"/>
      <w:szCs w:val="28"/>
    </w:rPr>
  </w:style>
  <w:style w:type="paragraph" w:styleId="Titre9">
    <w:name w:val="heading 9"/>
    <w:basedOn w:val="Normal"/>
    <w:next w:val="Normal"/>
    <w:link w:val="Titre9Car"/>
    <w:uiPriority w:val="9"/>
    <w:qFormat/>
    <w:rsid w:val="005C49D2"/>
    <w:pPr>
      <w:keepNext/>
      <w:jc w:val="center"/>
      <w:outlineLvl w:val="8"/>
    </w:pPr>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link w:val="Titre9"/>
    <w:uiPriority w:val="9"/>
    <w:semiHidden/>
    <w:locked/>
    <w:rsid w:val="001933F9"/>
    <w:rPr>
      <w:rFonts w:ascii="Cambria" w:eastAsia="Times New Roman" w:hAnsi="Cambria" w:cs="Times New Roman"/>
    </w:rPr>
  </w:style>
  <w:style w:type="paragraph" w:styleId="Corpsdetexte">
    <w:name w:val="Body Text"/>
    <w:basedOn w:val="Normal"/>
    <w:link w:val="CorpsdetexteCar"/>
    <w:uiPriority w:val="99"/>
    <w:rsid w:val="005C49D2"/>
    <w:rPr>
      <w:szCs w:val="20"/>
    </w:rPr>
  </w:style>
  <w:style w:type="character" w:customStyle="1" w:styleId="CorpsdetexteCar">
    <w:name w:val="Corps de texte Car"/>
    <w:link w:val="Corpsdetexte"/>
    <w:uiPriority w:val="99"/>
    <w:locked/>
    <w:rsid w:val="00BB7512"/>
    <w:rPr>
      <w:rFonts w:cs="Times New Roman"/>
      <w:sz w:val="24"/>
      <w:lang w:val="fr-FR" w:eastAsia="fr-FR"/>
    </w:rPr>
  </w:style>
  <w:style w:type="paragraph" w:styleId="Pieddepage">
    <w:name w:val="footer"/>
    <w:basedOn w:val="Normal"/>
    <w:link w:val="PieddepageCar"/>
    <w:uiPriority w:val="99"/>
    <w:rsid w:val="005C49D2"/>
    <w:pPr>
      <w:tabs>
        <w:tab w:val="center" w:pos="4536"/>
        <w:tab w:val="right" w:pos="9072"/>
      </w:tabs>
    </w:pPr>
  </w:style>
  <w:style w:type="character" w:customStyle="1" w:styleId="PieddepageCar">
    <w:name w:val="Pied de page Car"/>
    <w:link w:val="Pieddepage"/>
    <w:uiPriority w:val="99"/>
    <w:locked/>
    <w:rsid w:val="001933F9"/>
    <w:rPr>
      <w:rFonts w:cs="Times New Roman"/>
      <w:sz w:val="24"/>
      <w:szCs w:val="24"/>
    </w:rPr>
  </w:style>
  <w:style w:type="paragraph" w:styleId="Corpsdetexte2">
    <w:name w:val="Body Text 2"/>
    <w:basedOn w:val="Normal"/>
    <w:link w:val="Corpsdetexte2Car"/>
    <w:uiPriority w:val="99"/>
    <w:rsid w:val="005C49D2"/>
    <w:pPr>
      <w:jc w:val="both"/>
    </w:pPr>
  </w:style>
  <w:style w:type="character" w:customStyle="1" w:styleId="Corpsdetexte2Car">
    <w:name w:val="Corps de texte 2 Car"/>
    <w:link w:val="Corpsdetexte2"/>
    <w:uiPriority w:val="99"/>
    <w:locked/>
    <w:rsid w:val="001933F9"/>
    <w:rPr>
      <w:rFonts w:cs="Times New Roman"/>
      <w:sz w:val="24"/>
      <w:szCs w:val="24"/>
    </w:rPr>
  </w:style>
  <w:style w:type="paragraph" w:styleId="Retraitcorpsdetexte">
    <w:name w:val="Body Text Indent"/>
    <w:basedOn w:val="Normal"/>
    <w:link w:val="RetraitcorpsdetexteCar"/>
    <w:uiPriority w:val="99"/>
    <w:rsid w:val="005C49D2"/>
    <w:pPr>
      <w:ind w:left="420"/>
    </w:pPr>
  </w:style>
  <w:style w:type="character" w:customStyle="1" w:styleId="RetraitcorpsdetexteCar">
    <w:name w:val="Retrait corps de texte Car"/>
    <w:link w:val="Retraitcorpsdetexte"/>
    <w:uiPriority w:val="99"/>
    <w:semiHidden/>
    <w:locked/>
    <w:rsid w:val="001933F9"/>
    <w:rPr>
      <w:rFonts w:cs="Times New Roman"/>
      <w:sz w:val="24"/>
      <w:szCs w:val="24"/>
    </w:rPr>
  </w:style>
  <w:style w:type="paragraph" w:styleId="Titre">
    <w:name w:val="Title"/>
    <w:basedOn w:val="Normal"/>
    <w:link w:val="TitreCar"/>
    <w:uiPriority w:val="10"/>
    <w:qFormat/>
    <w:rsid w:val="005C49D2"/>
    <w:pPr>
      <w:spacing w:line="360" w:lineRule="auto"/>
      <w:jc w:val="center"/>
    </w:pPr>
    <w:rPr>
      <w:rFonts w:ascii="Cambria" w:hAnsi="Cambria"/>
      <w:b/>
      <w:bCs/>
      <w:kern w:val="28"/>
      <w:sz w:val="32"/>
      <w:szCs w:val="32"/>
    </w:rPr>
  </w:style>
  <w:style w:type="character" w:customStyle="1" w:styleId="TitreCar">
    <w:name w:val="Titre Car"/>
    <w:link w:val="Titre"/>
    <w:uiPriority w:val="10"/>
    <w:locked/>
    <w:rsid w:val="001933F9"/>
    <w:rPr>
      <w:rFonts w:ascii="Cambria" w:eastAsia="Times New Roman" w:hAnsi="Cambria" w:cs="Times New Roman"/>
      <w:b/>
      <w:bCs/>
      <w:kern w:val="28"/>
      <w:sz w:val="32"/>
      <w:szCs w:val="32"/>
    </w:rPr>
  </w:style>
  <w:style w:type="paragraph" w:styleId="En-tte">
    <w:name w:val="header"/>
    <w:basedOn w:val="Normal"/>
    <w:link w:val="En-tteCar"/>
    <w:uiPriority w:val="99"/>
    <w:rsid w:val="005C49D2"/>
    <w:pPr>
      <w:tabs>
        <w:tab w:val="center" w:pos="4536"/>
        <w:tab w:val="right" w:pos="9072"/>
      </w:tabs>
    </w:pPr>
  </w:style>
  <w:style w:type="character" w:customStyle="1" w:styleId="En-tteCar">
    <w:name w:val="En-tête Car"/>
    <w:link w:val="En-tte"/>
    <w:uiPriority w:val="99"/>
    <w:semiHidden/>
    <w:locked/>
    <w:rsid w:val="001933F9"/>
    <w:rPr>
      <w:rFonts w:cs="Times New Roman"/>
      <w:sz w:val="24"/>
      <w:szCs w:val="24"/>
    </w:rPr>
  </w:style>
  <w:style w:type="table" w:styleId="Grilledutableau">
    <w:name w:val="Table Grid"/>
    <w:basedOn w:val="TableauNormal"/>
    <w:uiPriority w:val="99"/>
    <w:rsid w:val="005C4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3">
    <w:name w:val="Car Car13"/>
    <w:locked/>
    <w:rsid w:val="00A004FC"/>
    <w:rPr>
      <w:rFonts w:cs="Times New Roman"/>
      <w:sz w:val="24"/>
      <w:szCs w:val="24"/>
    </w:rPr>
  </w:style>
  <w:style w:type="paragraph" w:styleId="Paragraphedeliste">
    <w:name w:val="List Paragraph"/>
    <w:basedOn w:val="Normal"/>
    <w:uiPriority w:val="34"/>
    <w:qFormat/>
    <w:rsid w:val="00111EAF"/>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unhideWhenUsed/>
    <w:rsid w:val="006C58BB"/>
    <w:rPr>
      <w:rFonts w:ascii="Tahoma" w:hAnsi="Tahoma"/>
      <w:sz w:val="16"/>
      <w:szCs w:val="16"/>
    </w:rPr>
  </w:style>
  <w:style w:type="character" w:customStyle="1" w:styleId="TextedebullesCar">
    <w:name w:val="Texte de bulles Car"/>
    <w:link w:val="Textedebulles"/>
    <w:uiPriority w:val="99"/>
    <w:semiHidden/>
    <w:rsid w:val="006C58BB"/>
    <w:rPr>
      <w:rFonts w:ascii="Tahoma" w:hAnsi="Tahoma" w:cs="Tahoma"/>
      <w:sz w:val="16"/>
      <w:szCs w:val="16"/>
    </w:rPr>
  </w:style>
  <w:style w:type="character" w:customStyle="1" w:styleId="Titre1Car">
    <w:name w:val="Titre 1 Car"/>
    <w:link w:val="Titre1"/>
    <w:uiPriority w:val="9"/>
    <w:rsid w:val="00572EBE"/>
    <w:rPr>
      <w:rFonts w:ascii="Cambria" w:eastAsia="Times New Roman" w:hAnsi="Cambria" w:cs="Times New Roman"/>
      <w:b/>
      <w:bCs/>
      <w:kern w:val="32"/>
      <w:sz w:val="32"/>
      <w:szCs w:val="32"/>
    </w:rPr>
  </w:style>
  <w:style w:type="paragraph" w:customStyle="1" w:styleId="Titre2Verdana">
    <w:name w:val="Titre 2 + Verdana"/>
    <w:aliases w:val="16 pt"/>
    <w:basedOn w:val="Titre1"/>
    <w:rsid w:val="00D54E3B"/>
    <w:pPr>
      <w:spacing w:before="0" w:after="0"/>
      <w:jc w:val="center"/>
    </w:pPr>
    <w:rPr>
      <w:rFonts w:ascii="Verdana" w:hAnsi="Verdana"/>
      <w:kern w:val="0"/>
      <w:u w:val="single"/>
    </w:rPr>
  </w:style>
  <w:style w:type="paragraph" w:styleId="Retraitcorpsdetexte2">
    <w:name w:val="Body Text Indent 2"/>
    <w:basedOn w:val="Normal"/>
    <w:link w:val="Retraitcorpsdetexte2Car"/>
    <w:uiPriority w:val="99"/>
    <w:semiHidden/>
    <w:unhideWhenUsed/>
    <w:rsid w:val="003D53A2"/>
    <w:pPr>
      <w:spacing w:after="120" w:line="480" w:lineRule="auto"/>
      <w:ind w:left="283"/>
    </w:pPr>
  </w:style>
  <w:style w:type="character" w:customStyle="1" w:styleId="Retraitcorpsdetexte2Car">
    <w:name w:val="Retrait corps de texte 2 Car"/>
    <w:link w:val="Retraitcorpsdetexte2"/>
    <w:uiPriority w:val="99"/>
    <w:semiHidden/>
    <w:rsid w:val="003D53A2"/>
    <w:rPr>
      <w:sz w:val="24"/>
      <w:szCs w:val="24"/>
    </w:rPr>
  </w:style>
  <w:style w:type="character" w:styleId="Marquedecommentaire">
    <w:name w:val="annotation reference"/>
    <w:uiPriority w:val="99"/>
    <w:semiHidden/>
    <w:unhideWhenUsed/>
    <w:rsid w:val="0045434F"/>
    <w:rPr>
      <w:sz w:val="16"/>
      <w:szCs w:val="16"/>
    </w:rPr>
  </w:style>
  <w:style w:type="paragraph" w:styleId="Commentaire">
    <w:name w:val="annotation text"/>
    <w:basedOn w:val="Normal"/>
    <w:link w:val="CommentaireCar"/>
    <w:uiPriority w:val="99"/>
    <w:semiHidden/>
    <w:unhideWhenUsed/>
    <w:rsid w:val="0045434F"/>
    <w:rPr>
      <w:sz w:val="20"/>
      <w:szCs w:val="20"/>
    </w:rPr>
  </w:style>
  <w:style w:type="character" w:customStyle="1" w:styleId="CommentaireCar">
    <w:name w:val="Commentaire Car"/>
    <w:basedOn w:val="Policepardfaut"/>
    <w:link w:val="Commentaire"/>
    <w:uiPriority w:val="99"/>
    <w:semiHidden/>
    <w:rsid w:val="0045434F"/>
  </w:style>
  <w:style w:type="paragraph" w:styleId="Objetducommentaire">
    <w:name w:val="annotation subject"/>
    <w:basedOn w:val="Commentaire"/>
    <w:next w:val="Commentaire"/>
    <w:link w:val="ObjetducommentaireCar"/>
    <w:uiPriority w:val="99"/>
    <w:semiHidden/>
    <w:unhideWhenUsed/>
    <w:rsid w:val="0045434F"/>
    <w:rPr>
      <w:b/>
      <w:bCs/>
    </w:rPr>
  </w:style>
  <w:style w:type="character" w:customStyle="1" w:styleId="ObjetducommentaireCar">
    <w:name w:val="Objet du commentaire Car"/>
    <w:link w:val="Objetducommentaire"/>
    <w:uiPriority w:val="99"/>
    <w:semiHidden/>
    <w:rsid w:val="0045434F"/>
    <w:rPr>
      <w:b/>
      <w:bCs/>
    </w:rPr>
  </w:style>
  <w:style w:type="character" w:styleId="Accentuation">
    <w:name w:val="Emphasis"/>
    <w:basedOn w:val="Policepardfaut"/>
    <w:uiPriority w:val="20"/>
    <w:qFormat/>
    <w:rsid w:val="002D3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6285">
      <w:bodyDiv w:val="1"/>
      <w:marLeft w:val="0"/>
      <w:marRight w:val="0"/>
      <w:marTop w:val="0"/>
      <w:marBottom w:val="0"/>
      <w:divBdr>
        <w:top w:val="none" w:sz="0" w:space="0" w:color="auto"/>
        <w:left w:val="none" w:sz="0" w:space="0" w:color="auto"/>
        <w:bottom w:val="none" w:sz="0" w:space="0" w:color="auto"/>
        <w:right w:val="none" w:sz="0" w:space="0" w:color="auto"/>
      </w:divBdr>
      <w:divsChild>
        <w:div w:id="1112630551">
          <w:marLeft w:val="547"/>
          <w:marRight w:val="0"/>
          <w:marTop w:val="0"/>
          <w:marBottom w:val="0"/>
          <w:divBdr>
            <w:top w:val="none" w:sz="0" w:space="0" w:color="auto"/>
            <w:left w:val="none" w:sz="0" w:space="0" w:color="auto"/>
            <w:bottom w:val="none" w:sz="0" w:space="0" w:color="auto"/>
            <w:right w:val="none" w:sz="0" w:space="0" w:color="auto"/>
          </w:divBdr>
        </w:div>
        <w:div w:id="1406604360">
          <w:marLeft w:val="547"/>
          <w:marRight w:val="0"/>
          <w:marTop w:val="0"/>
          <w:marBottom w:val="0"/>
          <w:divBdr>
            <w:top w:val="none" w:sz="0" w:space="0" w:color="auto"/>
            <w:left w:val="none" w:sz="0" w:space="0" w:color="auto"/>
            <w:bottom w:val="none" w:sz="0" w:space="0" w:color="auto"/>
            <w:right w:val="none" w:sz="0" w:space="0" w:color="auto"/>
          </w:divBdr>
        </w:div>
      </w:divsChild>
    </w:div>
    <w:div w:id="680474801">
      <w:bodyDiv w:val="1"/>
      <w:marLeft w:val="0"/>
      <w:marRight w:val="0"/>
      <w:marTop w:val="0"/>
      <w:marBottom w:val="0"/>
      <w:divBdr>
        <w:top w:val="none" w:sz="0" w:space="0" w:color="auto"/>
        <w:left w:val="none" w:sz="0" w:space="0" w:color="auto"/>
        <w:bottom w:val="none" w:sz="0" w:space="0" w:color="auto"/>
        <w:right w:val="none" w:sz="0" w:space="0" w:color="auto"/>
      </w:divBdr>
    </w:div>
    <w:div w:id="781269512">
      <w:bodyDiv w:val="1"/>
      <w:marLeft w:val="0"/>
      <w:marRight w:val="0"/>
      <w:marTop w:val="0"/>
      <w:marBottom w:val="0"/>
      <w:divBdr>
        <w:top w:val="none" w:sz="0" w:space="0" w:color="auto"/>
        <w:left w:val="none" w:sz="0" w:space="0" w:color="auto"/>
        <w:bottom w:val="none" w:sz="0" w:space="0" w:color="auto"/>
        <w:right w:val="none" w:sz="0" w:space="0" w:color="auto"/>
      </w:divBdr>
    </w:div>
    <w:div w:id="899827553">
      <w:bodyDiv w:val="1"/>
      <w:marLeft w:val="0"/>
      <w:marRight w:val="0"/>
      <w:marTop w:val="0"/>
      <w:marBottom w:val="0"/>
      <w:divBdr>
        <w:top w:val="none" w:sz="0" w:space="0" w:color="auto"/>
        <w:left w:val="none" w:sz="0" w:space="0" w:color="auto"/>
        <w:bottom w:val="none" w:sz="0" w:space="0" w:color="auto"/>
        <w:right w:val="none" w:sz="0" w:space="0" w:color="auto"/>
      </w:divBdr>
      <w:divsChild>
        <w:div w:id="2041003727">
          <w:marLeft w:val="547"/>
          <w:marRight w:val="0"/>
          <w:marTop w:val="91"/>
          <w:marBottom w:val="0"/>
          <w:divBdr>
            <w:top w:val="none" w:sz="0" w:space="0" w:color="auto"/>
            <w:left w:val="none" w:sz="0" w:space="0" w:color="auto"/>
            <w:bottom w:val="none" w:sz="0" w:space="0" w:color="auto"/>
            <w:right w:val="none" w:sz="0" w:space="0" w:color="auto"/>
          </w:divBdr>
        </w:div>
      </w:divsChild>
    </w:div>
    <w:div w:id="955599254">
      <w:bodyDiv w:val="1"/>
      <w:marLeft w:val="0"/>
      <w:marRight w:val="0"/>
      <w:marTop w:val="0"/>
      <w:marBottom w:val="0"/>
      <w:divBdr>
        <w:top w:val="none" w:sz="0" w:space="0" w:color="auto"/>
        <w:left w:val="none" w:sz="0" w:space="0" w:color="auto"/>
        <w:bottom w:val="none" w:sz="0" w:space="0" w:color="auto"/>
        <w:right w:val="none" w:sz="0" w:space="0" w:color="auto"/>
      </w:divBdr>
    </w:div>
    <w:div w:id="970867781">
      <w:bodyDiv w:val="1"/>
      <w:marLeft w:val="0"/>
      <w:marRight w:val="0"/>
      <w:marTop w:val="0"/>
      <w:marBottom w:val="0"/>
      <w:divBdr>
        <w:top w:val="none" w:sz="0" w:space="0" w:color="auto"/>
        <w:left w:val="none" w:sz="0" w:space="0" w:color="auto"/>
        <w:bottom w:val="none" w:sz="0" w:space="0" w:color="auto"/>
        <w:right w:val="none" w:sz="0" w:space="0" w:color="auto"/>
      </w:divBdr>
    </w:div>
    <w:div w:id="1005326458">
      <w:bodyDiv w:val="1"/>
      <w:marLeft w:val="0"/>
      <w:marRight w:val="0"/>
      <w:marTop w:val="0"/>
      <w:marBottom w:val="0"/>
      <w:divBdr>
        <w:top w:val="none" w:sz="0" w:space="0" w:color="auto"/>
        <w:left w:val="none" w:sz="0" w:space="0" w:color="auto"/>
        <w:bottom w:val="none" w:sz="0" w:space="0" w:color="auto"/>
        <w:right w:val="none" w:sz="0" w:space="0" w:color="auto"/>
      </w:divBdr>
    </w:div>
    <w:div w:id="1169905389">
      <w:bodyDiv w:val="1"/>
      <w:marLeft w:val="0"/>
      <w:marRight w:val="0"/>
      <w:marTop w:val="0"/>
      <w:marBottom w:val="0"/>
      <w:divBdr>
        <w:top w:val="none" w:sz="0" w:space="0" w:color="auto"/>
        <w:left w:val="none" w:sz="0" w:space="0" w:color="auto"/>
        <w:bottom w:val="none" w:sz="0" w:space="0" w:color="auto"/>
        <w:right w:val="none" w:sz="0" w:space="0" w:color="auto"/>
      </w:divBdr>
      <w:divsChild>
        <w:div w:id="1852719507">
          <w:marLeft w:val="547"/>
          <w:marRight w:val="0"/>
          <w:marTop w:val="96"/>
          <w:marBottom w:val="0"/>
          <w:divBdr>
            <w:top w:val="none" w:sz="0" w:space="0" w:color="auto"/>
            <w:left w:val="none" w:sz="0" w:space="0" w:color="auto"/>
            <w:bottom w:val="none" w:sz="0" w:space="0" w:color="auto"/>
            <w:right w:val="none" w:sz="0" w:space="0" w:color="auto"/>
          </w:divBdr>
        </w:div>
      </w:divsChild>
    </w:div>
    <w:div w:id="1377706224">
      <w:bodyDiv w:val="1"/>
      <w:marLeft w:val="0"/>
      <w:marRight w:val="0"/>
      <w:marTop w:val="0"/>
      <w:marBottom w:val="0"/>
      <w:divBdr>
        <w:top w:val="none" w:sz="0" w:space="0" w:color="auto"/>
        <w:left w:val="none" w:sz="0" w:space="0" w:color="auto"/>
        <w:bottom w:val="none" w:sz="0" w:space="0" w:color="auto"/>
        <w:right w:val="none" w:sz="0" w:space="0" w:color="auto"/>
      </w:divBdr>
    </w:div>
    <w:div w:id="1543636979">
      <w:bodyDiv w:val="1"/>
      <w:marLeft w:val="0"/>
      <w:marRight w:val="0"/>
      <w:marTop w:val="0"/>
      <w:marBottom w:val="0"/>
      <w:divBdr>
        <w:top w:val="none" w:sz="0" w:space="0" w:color="auto"/>
        <w:left w:val="none" w:sz="0" w:space="0" w:color="auto"/>
        <w:bottom w:val="none" w:sz="0" w:space="0" w:color="auto"/>
        <w:right w:val="none" w:sz="0" w:space="0" w:color="auto"/>
      </w:divBdr>
    </w:div>
    <w:div w:id="1865244844">
      <w:bodyDiv w:val="1"/>
      <w:marLeft w:val="0"/>
      <w:marRight w:val="0"/>
      <w:marTop w:val="0"/>
      <w:marBottom w:val="0"/>
      <w:divBdr>
        <w:top w:val="none" w:sz="0" w:space="0" w:color="auto"/>
        <w:left w:val="none" w:sz="0" w:space="0" w:color="auto"/>
        <w:bottom w:val="none" w:sz="0" w:space="0" w:color="auto"/>
        <w:right w:val="none" w:sz="0" w:space="0" w:color="auto"/>
      </w:divBdr>
    </w:div>
    <w:div w:id="1887906647">
      <w:bodyDiv w:val="1"/>
      <w:marLeft w:val="0"/>
      <w:marRight w:val="0"/>
      <w:marTop w:val="0"/>
      <w:marBottom w:val="0"/>
      <w:divBdr>
        <w:top w:val="none" w:sz="0" w:space="0" w:color="auto"/>
        <w:left w:val="none" w:sz="0" w:space="0" w:color="auto"/>
        <w:bottom w:val="none" w:sz="0" w:space="0" w:color="auto"/>
        <w:right w:val="none" w:sz="0" w:space="0" w:color="auto"/>
      </w:divBdr>
    </w:div>
    <w:div w:id="200844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18090">
          <w:marLeft w:val="547"/>
          <w:marRight w:val="0"/>
          <w:marTop w:val="115"/>
          <w:marBottom w:val="0"/>
          <w:divBdr>
            <w:top w:val="none" w:sz="0" w:space="0" w:color="auto"/>
            <w:left w:val="none" w:sz="0" w:space="0" w:color="auto"/>
            <w:bottom w:val="none" w:sz="0" w:space="0" w:color="auto"/>
            <w:right w:val="none" w:sz="0" w:space="0" w:color="auto"/>
          </w:divBdr>
        </w:div>
      </w:divsChild>
    </w:div>
    <w:div w:id="2093426610">
      <w:bodyDiv w:val="1"/>
      <w:marLeft w:val="0"/>
      <w:marRight w:val="0"/>
      <w:marTop w:val="0"/>
      <w:marBottom w:val="0"/>
      <w:divBdr>
        <w:top w:val="none" w:sz="0" w:space="0" w:color="auto"/>
        <w:left w:val="none" w:sz="0" w:space="0" w:color="auto"/>
        <w:bottom w:val="none" w:sz="0" w:space="0" w:color="auto"/>
        <w:right w:val="none" w:sz="0" w:space="0" w:color="auto"/>
      </w:divBdr>
      <w:divsChild>
        <w:div w:id="18843193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92BC0-5F00-46F1-A41E-84BB787A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2857</Words>
  <Characters>15416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MINISTERE DE L’ECONOMIE</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L’ECONOMIE</dc:title>
  <dc:creator>TRESOR</dc:creator>
  <cp:lastModifiedBy>HP</cp:lastModifiedBy>
  <cp:revision>4</cp:revision>
  <cp:lastPrinted>2021-07-15T09:08:00Z</cp:lastPrinted>
  <dcterms:created xsi:type="dcterms:W3CDTF">2021-07-14T21:29:00Z</dcterms:created>
  <dcterms:modified xsi:type="dcterms:W3CDTF">2021-07-15T09:19:00Z</dcterms:modified>
</cp:coreProperties>
</file>