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8"/>
        <w:tblpPr w:leftFromText="141" w:rightFromText="141" w:topFromText="0" w:bottomFromText="0" w:vertAnchor="text" w:horzAnchor="margin" w:tblpXSpec="left" w:tblpY="121"/>
        <w:tblW w:w="1013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2835"/>
        <w:gridCol w:w="2800"/>
      </w:tblGrid>
      <w:tr>
        <w:trPr>
          <w:trHeight w:val="2979" w:hRule="atLeast"/>
        </w:trPr>
        <w:tc>
          <w:tcPr>
            <w:tcW w:w="4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Cs w:val="false"/>
                <w:color w:val="auto"/>
                <w:szCs w:val="22"/>
              </w:rPr>
            </w:pPr>
            <w:r>
              <w:rPr>
                <w:rFonts w:ascii="Times New Roman" w:cs="Times New Roman" w:hAnsi="Times New Roman"/>
                <w:bCs w:val="false"/>
                <w:color w:val="auto"/>
                <w:szCs w:val="22"/>
              </w:rPr>
              <w:t>MINISTERE DE L’ECONOMIE, DES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Cs w:val="false"/>
                <w:color w:val="auto"/>
                <w:szCs w:val="22"/>
              </w:rPr>
            </w:pPr>
            <w:r>
              <w:rPr>
                <w:rFonts w:ascii="Times New Roman" w:cs="Times New Roman" w:hAnsi="Times New Roman"/>
                <w:bCs w:val="false"/>
                <w:color w:val="auto"/>
                <w:szCs w:val="22"/>
              </w:rPr>
              <w:t>FINANCES ET DE LA PROSPECTIVE</w:t>
            </w:r>
          </w:p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Cs w:val="false"/>
                <w:color w:val="auto"/>
                <w:szCs w:val="22"/>
              </w:rPr>
            </w:pPr>
            <w:r>
              <w:rPr>
                <w:rFonts w:ascii="Times New Roman" w:cs="Times New Roman" w:hAnsi="Times New Roman"/>
                <w:bCs w:val="false"/>
                <w:color w:val="auto"/>
                <w:szCs w:val="22"/>
              </w:rPr>
              <w:t>………….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>SECRETARIAT GENERAL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>…………..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 xml:space="preserve">DIRECTION DES ARCHIVES ET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>DE LA DOCUMENTATION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>…………..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>SERVICE DE LA DOCOMENTATION ADMINISTRATIVE ET JURIDIQUE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 w:val="false"/>
                <w:szCs w:val="22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Cs w:val="false"/>
                <w:color w:val="auto"/>
                <w:szCs w:val="22"/>
              </w:rPr>
            </w:pPr>
            <w:r>
              <w:rPr>
                <w:rFonts w:ascii="Times New Roman" w:cs="Times New Roman" w:hAnsi="Times New Roman"/>
                <w:bCs w:val="false"/>
                <w:color w:val="auto"/>
                <w:szCs w:val="22"/>
              </w:rPr>
              <w:t xml:space="preserve">    BURKINA FASO</w:t>
            </w:r>
          </w:p>
          <w:p>
            <w:pPr>
              <w:pStyle w:val="style179"/>
              <w:jc w:val="both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 xml:space="preserve">  ……...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>Unité - Progrès - Justice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 w:val="false"/>
                <w:bCs w:val="false"/>
                <w:color w:val="auto"/>
                <w:szCs w:val="22"/>
              </w:rPr>
            </w:pP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 w:val="false"/>
                <w:bCs w:val="false"/>
                <w:color w:val="auto"/>
                <w:szCs w:val="22"/>
              </w:rPr>
            </w:pP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 w:val="false"/>
                <w:bCs w:val="false"/>
                <w:color w:val="auto"/>
                <w:szCs w:val="22"/>
              </w:rPr>
            </w:pP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 w:val="false"/>
                <w:bCs w:val="false"/>
                <w:color w:val="auto"/>
                <w:szCs w:val="22"/>
              </w:rPr>
            </w:pP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 w:val="false"/>
                <w:bCs w:val="false"/>
                <w:color w:val="auto"/>
                <w:szCs w:val="22"/>
              </w:rPr>
            </w:pP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bCs w:val="false"/>
                <w:color w:val="auto"/>
                <w:szCs w:val="22"/>
              </w:rPr>
            </w:pPr>
          </w:p>
        </w:tc>
      </w:tr>
    </w:tbl>
    <w:p>
      <w:pPr>
        <w:pStyle w:val="style0"/>
        <w:jc w:val="both"/>
        <w:rPr>
          <w:rFonts w:ascii="Times New Roman" w:cs="Times New Roman" w:hAnsi="Times New Roman"/>
          <w:b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CATALOGUE (</w:t>
      </w:r>
      <w:r>
        <w:rPr>
          <w:rFonts w:ascii="Times New Roman" w:cs="Times New Roman" w:hAnsi="Times New Roman"/>
          <w:b/>
          <w:sz w:val="32"/>
          <w:szCs w:val="32"/>
        </w:rPr>
        <w:t>REPERTOIRE</w:t>
      </w:r>
      <w:r>
        <w:rPr>
          <w:rFonts w:ascii="Times New Roman" w:cs="Times New Roman" w:hAnsi="Times New Roman"/>
          <w:b/>
          <w:sz w:val="32"/>
          <w:szCs w:val="32"/>
        </w:rPr>
        <w:t>)</w:t>
      </w:r>
      <w:r>
        <w:rPr>
          <w:rFonts w:ascii="Times New Roman" w:cs="Times New Roman" w:hAnsi="Times New Roman"/>
          <w:b/>
          <w:sz w:val="32"/>
          <w:szCs w:val="32"/>
        </w:rPr>
        <w:t xml:space="preserve"> DU CENTRE DE DOCOMENTATION ADMINISTRATIVE ET JURIDIQUE</w:t>
      </w: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tbl>
      <w:tblPr>
        <w:tblStyle w:val="style154"/>
        <w:tblpPr w:leftFromText="141" w:rightFromText="141" w:topFromText="0" w:bottomFromText="0" w:vertAnchor="text" w:horzAnchor="margin" w:tblpXSpec="left" w:tblpY="-404"/>
        <w:tblOverlap w:val="never"/>
        <w:tblW w:w="9322" w:type="dxa"/>
        <w:tblLook w:val="04A0" w:firstRow="1" w:lastRow="0" w:firstColumn="1" w:lastColumn="0" w:noHBand="0" w:noVBand="1"/>
      </w:tblPr>
      <w:tblGrid>
        <w:gridCol w:w="1282"/>
        <w:gridCol w:w="5385"/>
        <w:gridCol w:w="2622"/>
      </w:tblGrid>
      <w:tr>
        <w:trPr>
          <w:trHeight w:val="980" w:hRule="atLeast"/>
        </w:trPr>
        <w:tc>
          <w:tcPr>
            <w:tcW w:w="1283" w:type="dxa"/>
            <w:tcBorders>
              <w:bottom w:val="single" w:sz="4" w:space="0" w:color="000000"/>
            </w:tcBorders>
            <w:shd w:val="clear" w:color="auto" w:fill="9bbb59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N° D’ORDRE</w:t>
            </w:r>
          </w:p>
        </w:tc>
        <w:tc>
          <w:tcPr>
            <w:tcW w:w="5411" w:type="dxa"/>
            <w:tcBorders>
              <w:bottom w:val="single" w:sz="4" w:space="0" w:color="000000"/>
            </w:tcBorders>
            <w:shd w:val="clear" w:color="auto" w:fill="9bbb59"/>
          </w:tcPr>
          <w:p>
            <w:pPr>
              <w:pStyle w:val="style179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TITRE DE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OUVRAGE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</w:t>
            </w:r>
          </w:p>
          <w:p>
            <w:pPr>
              <w:pStyle w:val="style179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  <w:shd w:val="clear" w:color="auto" w:fill="9bbb59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AUTEUR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(S)</w:t>
            </w:r>
          </w:p>
        </w:tc>
      </w:tr>
      <w:tr>
        <w:tblPrEx/>
        <w:trPr>
          <w:trHeight w:val="709" w:hRule="atLeast"/>
        </w:trPr>
        <w:tc>
          <w:tcPr>
            <w:tcW w:w="9322" w:type="dxa"/>
            <w:gridSpan w:val="3"/>
            <w:tcBorders/>
            <w:shd w:val="clear" w:color="auto" w:fill="b6dde8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OUVRAGES ACQUIS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de l’étudiant en macroéconomie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David FINDLAYS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Management opérationnel, Direction et Animation des équipes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Philippe RAMOND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commerce équitable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Gérôme Ballet, Aurélie CARIMENTRAND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Contrôle interne des risques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Henri-Pierre MADERS, Jean Luc MASSELIN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Macroéconomie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Michael ROCKINGER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guide de la micro finance : microcrédit et épargne pour le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Sébastien BOYE, Jérémy HAJDENDERG, Christine POURSAT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meilleur de la stratégie et du management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Pierre-Jean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BENGHOZI,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Jean-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HUET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 la performance à l’excellence : devenir une entreprise leader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Jim COLLINS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Macroéconomie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Hubert KEMPF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gestion de crise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272"/>
              </w:tabs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Jean-Jacques ROULMANN, Laurent GOULVESTRE, Jean SEGONDS, Frank ROUAULT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Penser management : Pratiques et méthodes de déploiement d’une politique managériale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David AUTISSIER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Sébastien HOULIERE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Ingénierie du logiciel du procédural à l’objet : les langages C et C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++</w:t>
            </w:r>
          </w:p>
          <w:p>
            <w:pPr>
              <w:pStyle w:val="style0"/>
              <w:ind w:left="42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Méthodologie, grammaire, sémantique, syntaxe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PHILIPP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projet informatique de A et Z</w:t>
            </w:r>
          </w:p>
          <w:p>
            <w:pPr>
              <w:pStyle w:val="style0"/>
              <w:ind w:left="42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Approche pragmatique de la gestion de projet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Valery GUILHEM FREMAUX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Précis de microéconomie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Marie-Pierre DUSSINE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boite à outils du responsable financier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Caroline SELMER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Gérer les relations avec les partenaires sociaux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-Fonctionnement et enjeux du dialogue social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Patrice LAROCHE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E-commerce de la stratégie à la mise en œuvre opérationnelle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Henri Isaac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 VOLLE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Convaincre avec des graphiques efficaces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Sous Excel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 xml:space="preserve"> TM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PowerPoint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 xml:space="preserve"> TM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Tableau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 xml:space="preserve"> TM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Bernard LEBELLE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Excel 2010 et VBA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Bernard MINOT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Jean-Michel LERY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Apprendre à programmer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Guy RAPPENEAU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L’encyclopédie de l’audit du social et de la responsabilité sociétale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Jean-Marie PERETTI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finances locales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BOUVIER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L’audit de formation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Thierry ARDOUIN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Sylvain LACAILLE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Code fiscal du Burkina-Faso (2010)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CFA Afrique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Culture africaine et gestion de l’entreprise moderne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Marcel ZADI KESSY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 nouveaux documentalistes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Françoise LEBLOND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Construire, se construire: la dynamique du projet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Jean-Louis FERREIN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monnaie et ses mécanismes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Dominique PLIHON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L’élaboration du manuel des procédures à valeur ajoutée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Auguste Noël OUEDRAOGO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métiers d’auditeur interne et de contrôleur permanent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Henri-Pierre MADERS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Jean-Luc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masselin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Hervé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fratta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Management stratégique de la marque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Kevin KELLER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Nathalie FLECK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Isabelle FONTAINE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management stratégique des compétences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Bertrand QUELIN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Jean-Luc ARREGLE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à la comptabilité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Charlotte DISLE, Robert MAESO, Michel MEAU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Comptabilité, contrôle audit (la Revue de l’Association Francophone de Comptabilité)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Revue de l’Association Francophone de Comptabilité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Comprendre la Dette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Raphaël DIDIER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gestion des compétences : Analyse des pratiques et prospectives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PICARD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Dictionnaire des ressources humaines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Marie PERETTI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à la comptabilité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Charlotte DISLE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Robert MAESO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MEAU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gestion des ressources humaines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Tania SABA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Simon L.DOLAN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management de projet orienté client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Bernard Edmond AVOINE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Dictionnaire de science économique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Alain BEITONE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Antoine CAZORLA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Christine DOLLO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Conduire le changement : les gestes qui sauvent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Christophe FAURIE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boite à outils des réseaux sociaux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Cyril BLADIER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à la macroéconomie moderne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Avi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J. COHEN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Harvey B. KING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 CHAPLEAU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Droit des entreprises en difficulté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Filiga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Michel SAWADOGO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Développer un site web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Daniel-Jean David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Dictionnaire de technologie numérique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Mickael ROBINSON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boite à outil du responsable marketing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Nathalie VAN LAETHEM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Yvelise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LEBON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Beatrice DURANT-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MEGRET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Management des systèmes d’informations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Kenneth LAUDON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Jane LAUDON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Eric FINBEL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Management des guides : Booster votre créativité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Lionel BELLENGER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Mari- Madeleine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SEVE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Comptabilité financière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RICHARD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Histoire du développement économique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Philippe J. Bernard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Budget et politique économique en Afrique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Roger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Tsafack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NANFOSSO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Méthodologie d’analyse économique et historique des sociétés contemporaines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 ROBERT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pilotage opérationnel de l’entreprise : comment déployer la stratégie sur le terrain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Jean-Michel TREILLE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Dette odieuse : les leçons de la crise grecque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Jason MANOLOPOULOS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Comptabilité générale système comptable OHADA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Daniel GOUADAIN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El-Bachir WADE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Dictionnaire d’analyse économique : microéconomie, macroéconomie, finances, etc.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Bernard GUERRIEN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Ozgur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GUN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Lire les états financiers en IFRS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Grégory HEEM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Contrôle de gestion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Yves de RONGE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Karine CERRADA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budget facile pour les managers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Philippe HONORAT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Management des entreprises en 24 fiches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Stéphane BALLAND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Anne-Marie BOUVIER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Système de passation des marchés publics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Sibaï ADOU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gouvernance de l’entreprise : une approche par l’audit et contrôle interne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Eustache EBONDO WA MADZILA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Pratique des études de marché: outils du diagnostic marketing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Philippe AURIER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Une nouvelle conscience pour un monde en crise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Jérémie RIFKIN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à l’économie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Microéconomie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Macroéconomie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Thierry de MONTBRIAL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Emmanuelle FAUCHART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microéconomie en pratique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Emmanuel BUISSON-FENET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Marion NAVARRO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L’essentiel du contrôle de gestion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Annick DELHON- BUGARD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Guillaume LEBEAU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Instruments financières et IRFS : évaluation et comptabilisation en IAS 32, 39 et IFRS 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Pascal BERNETO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 GRUSON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Gestion des ressources humaines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Bernard MARTORY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Daniel CROZET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Comptabilités et audit bancaires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Dov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OGIEN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Principes d’économétrie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James STOCK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Mark WATSON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boite à outils du contrôle de gestion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Caroline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Selmer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Economie monétaire et financière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Daniel SZPIRO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A3 gestion et développement des ressources humaines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Chantal ABRY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Pauline LEROY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Manuel de recherche en sciences sociales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Luc VAN CAMPENHOUDT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MARQUET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Gestion des projets : le guide exhaustif du management de projets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Robert BUTTRICK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Guillaume CHANSON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Règles, techniques et pratiques de la rédaction administrative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FONKOU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Stratégie financière : cours et exercices corrigés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Pascal François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de référence sur la lutte contre le blanchiment de capitaux et contre le financement du terrorisme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Paul ALLAN SCHOTT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Droit de suretés et garanties du crédit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Dominique LEGEAIS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droit de sureté dans l’espace OHADA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Hygin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Didace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AMBOULOU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La boite à outil du négociateur : les meilleures techniques pour questionner,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argumenter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réfuter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Lionel BELLENGER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Management des compétences en pratique : dispositifs, méthodes et outils concrets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Claude FLÜCK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Réussir son étude de marché : les clés pour un business model efficace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Catherine Leger-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Jarniou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prospective stratégique : pour les entreprises et les territoires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GODET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Philippe DURANCE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des données : traitement stratégique des enquêtes avec SPSS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Anis HAMROUNI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L’évaluation des politiques publiques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Bernard PERRET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Financement d’un projet de partenariats public-privé (ppp) : mission du consultant et guide méthodique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Constantin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Kubeterzié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DIBIRE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089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Initiation à la modélisation économique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Diana LOUBAKI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Lexique d’économie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Ahmed SILEM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ANTOINE GENTIR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L’essentiel de la gestion de projet : les carrés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Roger AÏM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L’essentiel des finances publiques : les carrés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Stephanie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DAMAREY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Macroéconomie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Arnaud MAYEUR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Principes d’économie politique (ed.1906) tome I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Alfred MARSHALL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catalogage : méthodes et pratique les monographies imprimées, les ressources continues Tome I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Marie Renée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cagabon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Isabelle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Dusset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CARBONE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métier de documentaliste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Jean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pilippe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ACCART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Economie territoriale et développement local : concepts et expériences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Ameziane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FARGUENE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nouvelles dynamiques spatiales à la découverte des territoires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Véronique THIREAU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terrorisme : les voies de la coopération internationale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Mario BETTATI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Code générale des collectivités territoriales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Morgane GUILLO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Dictionnaire de l’urbanisme et de l’aménagement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 MERLIN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Françoise CHOAY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Dictionnaire de l’aménagement du territoire : état des lieux et prospective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Cyria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ENELIANOF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Pierre GALLAND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Paul LACAZE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mythe du développement durable en Afrique Noire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Essé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AMOUGOU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observatoires territoriaux sens et enjeux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Emmanuel ROUX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Grégoire FEYT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petit Larousse illustré 2018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 LAROUSSE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Droit administratif général tome I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René CHAPUS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Comment évaluer la qualité des archives : méthode et instruments de mesure des dimensions de qualité des archives définitives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Basma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Maklouf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SHABOU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fiches outils du responsable RH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Pierre Michel Do MARCOLINO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relations individuelles de travail : de l’embauche à la rupture du contrat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Emmanuel RAY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Valoriser la performance RH : un enjeu pour la productivité de l’entreprise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Pierre THAÏB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Statistique descriptive pour l’économie et la gestion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Bernard DELMAS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Blanchiment de capitaux et professions de juridiques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Matthieu VAN MOLLE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Etienne BEGUIN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rôle du notaire dans la lutte contre le blanchiment de capitaux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Pascal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haye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ROSSELL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Contrôle de gestion social : salaire, masse salariales, effectifs, compétences, performance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Berrnard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MARTOY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pratique de rédaction administrative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Alassane CONTE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Rédaction administrative Afrique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GANDOUIN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Marie ROUSSIGNOL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Droit administratif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WALINE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Lutter efficacement contre le blanchiment de capitaux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Aziz BELAYACHI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Mylène BUREAU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Mesurer la performance des ressources humaines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David HAUTISSIER Blandine SIMONIN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outils de RH : les savoir-faire essentiels en GRH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Sylvie GUERRERO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L’information géographique : aménagement et urbanisme en chine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Nicolas DOUAY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outils de l’audit social : optimiser la gestion des ressources humaines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Sylvie GUERRERO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Lutte contre le blanchiment d’argent et le financement du terrorisme : quels enjeux face au secteur informel en Afrique de l’Ouest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Idrissa Mohamed OU2DRAOGO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Idrissa KABRE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Gestion des ressources humaine : comprendre les pratiques actuelles de la gestion des personnes au sein des organisations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Faycel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BENCHEMAN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Geraldine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GALIDO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Créer et animer un observatoire local : comprendre la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démarche, connaitre la méthode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Jean Bernard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CHEVRAUX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Territorialité et politique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Christian VANDERMOTTEN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correspondances professionnelles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Gaetan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PEROU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Ngompa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ENGO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La conduite de projets : les 126 règles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piloter vos projets avec succès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Thierry HOUGRON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Jean-Jacques COUSTY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Recomposition et développement des territoires : enjeux économique, processus, acteurs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Guy LIONGER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Jean-Claude NEMERY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Gouvernance locale et développement territorial : le cas des pays du Sud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Améziane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FERGUENE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ind w:left="42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Public finance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John E ANDERSON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guide opérationnel des PPP : conditions du recours au partenariat public-privé passation du contrat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François BERGERE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Xavier BEZANCON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Laurent DERUY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management des risques des entreprises et de gestion de projet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Alain DESROCHES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Franck MARLE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Emelio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RAIMONDO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Organiser la formation : le pari sur l’auto évaluation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VIAL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Conduite opérationnel des projets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Alain AMGHAR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Leçons de finances publiques : cours complet, sujet corrigés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Gil DESMOULIN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Leçons de contentieux administratif : cours complet et sujets corrigés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Henri CHAVRIER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Manuel DELAMARRE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Etude économique et géopolitique de développement : le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sous développement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n’est pas une fatalité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Elie SADIGH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gouvernance des PPP et aide au développement : ITIL dans le processus de gestion des finances publiques, dans l’attribution des marchés et projets publics, et des aides au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Amouzou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BEDI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 partenariats publics- privé PPP : concevoir, implémenter, gérer et ploter un projet dans les pays en développement, quelles stratégies adopter ?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Blaise T ATCHATI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Revue de 71 Bibliologie schéma et schématisation : la bibliographie scientifique et l’école internationale de bibliologie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Hee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Jea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-Lee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OUIKENE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Dominique-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Hado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ZIDOUEMBA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Lexique des termes juridiques 2018-2019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Serge GUINCHARD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Thierry DEBART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L’évaluation des politiques publiques : défis d’une société en tension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Gaëlle BARON  Nicolas MATYJASIK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Economie, conseil et gestion publique suivi et évaluation des politiques publiques et des programmes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Maurice BASLE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Fondement et étapes du processus de recherche : méthodes quantitatives et qualitatives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Marie-Fabienne FORTIN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Johanne GAGNON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Manuel prospective stratégique : 1.une discipline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intellectuelle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de GODET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management public en mutation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David HURON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SPINDLER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Connaissance et action publique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Maurice BASLE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Coopération internationale et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Dirk-Jan KOCH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Management de projet : fondamentaux, méthodes, outils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Jean-Claude CORBEL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Financement de projet et partenariats public- privé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Michel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Lyonnet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du MOUTIER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Clément FOURCHY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Manuel de prospective stratégique : 2. L’art et la méthode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Michel de GODET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Systèmes finances publiques : les outils de management public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Raphael ALVENTOSA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Système collectivités locales : l’évaluation des politiques publiques locales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Daniela LAMARQUE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L’évaluation des politiques publiques le développement d’une nouvelle culture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Patrice BRACONNIER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Guy CAUQUIL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Gestion des ressources humaines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Marie PERETTI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 la prospective : textes fondamentaux de la prospective française 1955-1966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Gaston BERGER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de BOURBON-BUSSET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mobilité internationale des salariés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Isabelle DESMIDT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411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GRH dans la fonction publique</w:t>
            </w:r>
          </w:p>
        </w:tc>
        <w:tc>
          <w:tcPr>
            <w:tcW w:w="2628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Suzanne MAURY</w:t>
            </w:r>
          </w:p>
        </w:tc>
      </w:tr>
      <w:tr>
        <w:tblPrEx/>
        <w:trPr>
          <w:trHeight w:val="263" w:hRule="atLeast"/>
        </w:trPr>
        <w:tc>
          <w:tcPr>
            <w:tcW w:w="9322" w:type="dxa"/>
            <w:gridSpan w:val="3"/>
            <w:tcBorders/>
            <w:shd w:val="clear" w:color="auto" w:fill="c6d9f1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DOCUMENTS COLLECTES LORS DES TRAITEMENTS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highlight w:val="darkGreen"/>
              </w:rPr>
            </w:pP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pays de suivi des objectifs du millénaire pour le développement au Burkina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Rapport 2012 sur la promotion de la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micro-finance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au Burkina Faso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SP-PMF/MEF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Rapports sur l’économie 2012 : analyse de l’évolution économique de 2000 à 2011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Tableau de bord statistique de l’économie et des finances 2012</w:t>
            </w:r>
          </w:p>
          <w:p>
            <w:pPr>
              <w:pStyle w:val="style0"/>
              <w:ind w:left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pertoire des Projets, ONG et Associations face aux enjeux du développement humain durable : Novembre 2004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PRPC/ MEDEV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2012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166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Quatrième conférence de table ronde des partenaires au développement du Burkina Faso (Ouagadougou 4-5 mars 2004) 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de Lutte contre la Pauvreté ;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introductif des politiques publiques efficaces pour une croissance économique soutenue au service d’un développement humain durable ;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Documents de réflexion ;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Programme d’actions prioritaire de mise en œuvre du  CSLP 2004-2006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CSLP/MEF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167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Introduction à la gestion des finances publiques : 2010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DGTCP/MEF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168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Politique National Genre : Adoption juillet 2009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169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Code général des impôts 2018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DGI/MEF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Recueil de lois : 1997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Assemblée Nationale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d’action 2014-2016 de la mise en œuvre de la politique nationale de protection sociale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Premier Ministère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mondial de suivi sur l’Education Pour Tous 2011</w:t>
            </w:r>
          </w:p>
          <w:p>
            <w:pPr>
              <w:pStyle w:val="style0"/>
              <w:ind w:left="26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crise cachée : les conflits armés et l’éducation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UNESCO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d’urgence pour la réalisation de la sécurité alimentaire et nutritionnelle du Burkina Faso 2008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Rédaction administrative Module 3 : Edition 2013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mondiale sur le développement humain 2007-2008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 lutte contre le changement climatique : un impératif de solidarité humaine dans un monde divisé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Kevin WATKINS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Accord Général Sur les Tarifs Douaniers et le Commerce       Instrument de base et documents divers : Volume IV Texte de l’accord général 1969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GATT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Régime financier des collectivités territoriales au sein de l’UEMOA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UEMOA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Résultat de la table ronde des bailleurs de fonds : 2003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Autorité de développement intégré de la région du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Liptako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-Gourma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Stratégie d’implantation du budget programme de l’Etat : 2011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final de la 20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 xml:space="preserve">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réunion plénière de la commission technique du Groupe Intergouvernemental d’Action contre le Blanchiment d’Argent en Afrique de l’Ouest : 4-7 novembre 2013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GIABA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Document d’orientation pour l’implantation du budget programme au Burkina Faso : 2010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Texte législative et règlementaires portant critères et conditions d’exercice des professions de l’expertise nationale au Burkina Faso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Premier Ministère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Recueil de textes relatif à l’organisation des activités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statistiques au Burkina Faso : édition 2008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méthodologique pour le suivi de l’évaluation des programmes budgétaires : 2011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méthodologique pour l’élaboration du budget programme de l’Etat : 2010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Matrice de performance 2015-2017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SCADD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Recueil de textes fiscaux du Burkina Faso : 2014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DGI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Finances Publique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01. Droit budgétaire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Finances Publiques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03. Ressources financières des collectivités territoriales : fiscalité locale et stratégie de mobilisation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Finances Publiques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04. Mobilisation des ressources financières des Collectivités Territoriales : stratégie et technique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Finances Publiques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05. Dette Publique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Maitrise d’ouvrage Publiques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01. Montage et suivi technique des projets d’infrastructures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194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Maitrise d’ouvrage Publiques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02. Suivi de la réalisation des infrastructures communales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Maitrise d’ouvrages publics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03. Gestion des infrastructures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Citoyenneté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02. Rôle des acteurs de la décentralisation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Citoyenneté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03. Collectivité territoriales et droits humains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198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Collectivités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01. Attributions administratives des présidents des conseils des collectivités territoriales et le rôle du Secrétaire général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Collectivités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02. Organisation et attributions des conseils des collectivités territoriales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Administration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01. Exercice de la tutelle sur les collectivités territoriales au Burkina Faso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Administration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02. Organisation et fonctionnement de l’Etat civil au Burkina Faso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Administration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Module 04. Recueil de modèles de supports administratifs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ENAM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2014 sur le secteur de la micro finance au Burkina Faso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Secrétariat Permanent pour la Promotion du Microfinance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 l’efficacité de l’aide à l’efficacité de la coopération au développement : enjeux et perspectives au Burkina Faso (Rapport sur la coopération pour le développement) 2014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Stratégie nationale de lutte contre le blanchiment de capitaux et le financement du terrorisme et plan d’action 2014-2016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Cellule Nationale de Traitement des Informations Financières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annuel 2014 du Ministère de l’Economie et des Finances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Rétrospectives 2015 du Ministère de l’Economie, des Finances et du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Rétrospective 2015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Finances publique gestion 2015 +2CR-Rom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2015+2CR-ROM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Tableau de bord statistique de l’économie et des finances 2015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DGES/MINEFID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Partenariats public-privé dans le secteur des infrastructures : Guide pratique à l’intention des décideurs publics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Jeffrey DELMON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Combattre la corruption : Etude comparative des aspects légaux de la pratique des Etats et des principales initiatives internationales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paatii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Ofosu-Amaah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Health policy research in south Asia : building capacity for reform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David H. Peters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Textes portant réorganisation agraire et foncière 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Ordonnance N°84-050/CNR/PRES du 04 aout 1984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Décret N°85-404/CNR/PRES du 04 aout 1985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de lutte contre la pauvreté (CSLP) et question de population du Burkina Faso : analyse des faiblesses et perspectives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SP(CONAPO)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Profil des régions du Burkina Faso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DGAT-AD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méthodologique de planification locale comment élaborer et mettre en œuvre un plan régional de développement 2013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DGAT-AD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Textes portant réorganisation Agraire et Foncière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ZATU N°AN VIII-0039 bis/FP/PRES du 04/06/1991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KITI N°AN VIII-0328Ter/FP/Plan-coop du 04/06/1991</w:t>
            </w:r>
          </w:p>
          <w:p>
            <w:pPr>
              <w:pStyle w:val="style0"/>
              <w:ind w:left="425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ISND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 réveil du géant assoupi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FAO et Banque Mondiale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Programme d’aménagements pastoraux au Burkina Faso 1989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Ministère du Plan et de la Coopération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Règlement intérieur du conseil des ministres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Conseil de l’Entente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Stratégie nationale de l’Etat civil au Burkina Faso 2012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Direction Générale de la Modernisation de l’Etat civil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Loi N°081-2015/CNT Portant statut général de la fonction publique d’Etat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CNT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National de Développement Economique Social (PNDDES) 2016-2020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PNDS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Treizième(13) session de l’assemble générale des sociétés d’Etat consacrés aux établissements publics de l’Etat 2012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Secrétariat Général de l’Assemblée Générale des EPE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Politique sectorielle de l’économie et des finances  2011-2020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la pauvreté rurale 2011 nouvelles réalités, nouveaux défis : de nouvelles chances pour la prochaine génération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FIDA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Etude rétrospective politique Burkina Faso « Burkina 2025 »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DGEP/ 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Bilan annuel 2011 de l’exécution des projets et programme placés sous la tutelle technique de MEF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DEP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Fiscalité minière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Fonds Monétaire international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Tableau de bord statistique de l’économie et des finances 2016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2016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finances publiques gestion 2016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Code des marchés publics 2008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ARMP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général sur l’état des lieux archives et de la documentation du Ministère de l’Economie des Finances et du Développement 2016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Recueil de textes portant cadre juridique des finances publiques du Burkina Faso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MFB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Etude rétrospective social du Burkina Faso « Burkina 2025 » 2001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Etude rétrospective macro- économique du Burkina Faso « Burkina 2025 » 2001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de diagnostic stratégique du Burkina Faso« Burkina 2025 » 2004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d’analyse structurelle« Burkina 2025 » 2004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la vision prospective et les stratégies« Burkina 2025 » 2007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 /MED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scénarios thématiques et globaux« Burkina 2025 » 2004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 /MED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général (étude national prospective) « Burkina 2025 » 2004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DGEP /MED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Recueil de textes partant cadre juridique des finances publiques du Burkina Faso ; tableau de concordance entre l’ancien régime financier de 1969 et le recueil de textes portant cadre juridique des finances publiques du Burkina Faso.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MEB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Comprendre la dévaluation du francs CFA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PM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Stratégie nationale de microfinance et plan d’action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2012-2016. 2012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MEF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Assemblée des députés du peuple : recueil de lois 1994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Première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législature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L’incidence des migrations internationales sur les pays en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Centre de développement de l’OCDE (Organisation de Coopération et de Développement Economique)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Assemblé des députés du peuple : recueil de lois 1993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Première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législature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Information sources on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presticides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industry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pays suivi des objectifs du Millénaire pour le développement 2003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Burkina Faso : un pays qui progresse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régionale de lutte contre la pauvreté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Schéma directeur d’aménagement et d’urbanisme : rapport définitif 2012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Ministère de l’Habitat de l’Urbanisme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second projet de développement urbain du Burkina Faso : mobilisation des ressources et renforcement des infrastructures municipales. 1989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Ministère des Finances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257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 sur le développement dans le monde : le monde du travail dans une économie sans frontières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Banque mondiale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Pratique contemporaine de l’analyse conjoncturelle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Jacky FAYOLLE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 développement humain durable 1998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PNUD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 développement humain durable 1997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PNUD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L’histoire de l’union monétaire ouest africaine : Tome III bilan et perspectives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Georges Israël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Schéma directeur d’aménagement et d’urbanisme ville de Tenkodogo : rapport 2012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Ministère de l’Habitat de l’Urbanisme (MHU)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la coopération pour le développement 1998-1999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PNUD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Evaluation de la réforme de la gestion des finances publiques au Burkina Faso 2001-2010. Rapport 2012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Andrew LAWSON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Mailan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CHICHE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Idrissa OUEDRAOGO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indicateurs de capacités en Afrique 2013 : Renforcement des capacités pour la gestion des ressources naturelles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Jason MAYO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nord.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plateau central.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des hauts bassins.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sud-ouest.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Sahel.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centre ouest.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centre sud.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centre.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du centre Est.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des Cascades.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Cadre stratégique régional de lutte contre la pauvreté : région de la Boucle de Mouhoun 2005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finances publiques gestion 2017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Tableau de bord statistique de l’économie et des finances 2019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Financement participatif au Burkina Faso : étude de préfaisabilité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Rétrospectives 2018 Ministère de l’Economie des Finances et du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d’élaboration de suivi et d’évaluation de plans stratégique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Stratégie de l’équipement de l’Etat 2019-2023 et son plan d’action opérationnel 2019-2021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DGAIE/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Stratégie Immobilière de l’Etat 2019-2023 et son plan d’action 2019-2021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DGAIE/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Tableau de bord statistique de l’économie et ses finances 2017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finances publiques gestion 2018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Tableau de bord statistique de l’économie et des finances 2018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2018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2017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2019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2021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Annuaire statistique de l’économie et des finances 2020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d’actions Intégré des reformes des finances publique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stratégique 2017-2021 annexe séparé N°1 plan d’action de mise en œuvre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DGI/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stratégique 2017-2021 lancement officiel le 27 octobre 2017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DGI/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Financement participatif au Burkina Faso étude de préfaisabilité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finances publiques gestion 2017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Pour vous faciliter le foncier : l’essentiel de la législation domaniale, foncière et cadastrale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DGI/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Tableau de bord statistique de l’économie et ses finances 2021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Rapport sur les finances publiques gestion 2021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Rétrospectives 2020 du Ministère de l’Economie des Finances et du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 /MINEFID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Rétrospective 2021 du Ministère de l’Economie des Finances et du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 /MINEFID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Métadonnées des indicateurs de l’économie des finances et du Développement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DGESS/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Cinquième recensement générale de la population et de l’habitation du Burkina Faso résultats préliminaires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ISND/ MINEFID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d’action triennal glissant 2021-202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DGEP / MINEFID </w:t>
            </w:r>
          </w:p>
        </w:tc>
      </w:tr>
      <w:tr>
        <w:tblPrEx/>
        <w:trPr>
          <w:trHeight w:val="263" w:hRule="atLeast"/>
        </w:trPr>
        <w:tc>
          <w:tcPr>
            <w:tcW w:w="128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4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Rédaction administrative Afrique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: 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édition</w:t>
            </w:r>
          </w:p>
        </w:tc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Jacques GANDOUIN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Jean Marie ROUSSIGNOL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br w:clear="all"/>
      </w:r>
    </w:p>
    <w:p>
      <w:pPr>
        <w:pStyle w:val="style0"/>
        <w:ind w:left="36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br w:type="page"/>
      </w:r>
    </w:p>
    <w:p>
      <w:pPr>
        <w:pStyle w:val="style0"/>
        <w:ind w:left="36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p>
      <w:pPr>
        <w:pStyle w:val="style0"/>
        <w:jc w:val="center"/>
        <w:rPr>
          <w:rFonts w:ascii="Times New Roman" w:cs="Times New Roman" w:hAnsi="Times New Roman"/>
          <w:szCs w:val="22"/>
        </w:rPr>
      </w:pPr>
    </w:p>
    <w:sectPr>
      <w:foot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8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C8ADE3C"/>
    <w:lvl w:ilvl="0" w:tplc="597C405E">
      <w:start w:val="2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568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45CE7BA"/>
    <w:lvl w:ilvl="0" w:tplc="F2CE4F2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B204F1A0"/>
    <w:lvl w:ilvl="0">
      <w:start w:val="1"/>
      <w:numFmt w:val="decimal"/>
      <w:lvlText w:val="%1)"/>
      <w:lvlJc w:val="right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0000004"/>
    <w:multiLevelType w:val="hybridMultilevel"/>
    <w:tmpl w:val="5D3AD130"/>
    <w:lvl w:ilvl="0" w:tplc="9FC60418">
      <w:start w:val="2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C904072"/>
    <w:lvl w:ilvl="0" w:tplc="D2F46C28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469651FC"/>
    <w:lvl w:ilvl="0">
      <w:start w:val="1"/>
      <w:numFmt w:val="upperRoman"/>
      <w:lvlText w:val="Article %1."/>
      <w:lvlJc w:val="right"/>
      <w:pPr>
        <w:ind w:left="-32767" w:firstLine="32767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00000007"/>
    <w:multiLevelType w:val="hybridMultilevel"/>
    <w:tmpl w:val="A45CE7BA"/>
    <w:lvl w:ilvl="0" w:tplc="F2CE4F2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040C0023"/>
    <w:lvl w:ilvl="0">
      <w:start w:val="1"/>
      <w:numFmt w:val="upperRoman"/>
      <w:pStyle w:val="style1"/>
      <w:lvlText w:val="Article %1."/>
      <w:lvlJc w:val="left"/>
      <w:pPr>
        <w:ind w:left="0" w:firstLine="0"/>
      </w:pPr>
    </w:lvl>
    <w:lvl w:ilvl="1">
      <w:start w:val="1"/>
      <w:numFmt w:val="decimalZero"/>
      <w:pStyle w:val="styl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style3"/>
      <w:lvlText w:val="(%3)"/>
      <w:lvlJc w:val="left"/>
      <w:pPr>
        <w:ind w:left="720" w:hanging="432"/>
      </w:pPr>
    </w:lvl>
    <w:lvl w:ilvl="3">
      <w:start w:val="1"/>
      <w:numFmt w:val="lowerRoman"/>
      <w:pStyle w:val="style4"/>
      <w:lvlText w:val="(%4)"/>
      <w:lvlJc w:val="right"/>
      <w:pPr>
        <w:ind w:left="864" w:hanging="144"/>
      </w:pPr>
    </w:lvl>
    <w:lvl w:ilvl="4">
      <w:start w:val="1"/>
      <w:numFmt w:val="decimal"/>
      <w:pStyle w:val="style5"/>
      <w:lvlText w:val="%5)"/>
      <w:lvlJc w:val="left"/>
      <w:pPr>
        <w:ind w:left="1008" w:hanging="432"/>
      </w:pPr>
    </w:lvl>
    <w:lvl w:ilvl="5">
      <w:start w:val="1"/>
      <w:numFmt w:val="lowerLetter"/>
      <w:pStyle w:val="style6"/>
      <w:lvlText w:val="%6)"/>
      <w:lvlJc w:val="left"/>
      <w:pPr>
        <w:ind w:left="1152" w:hanging="432"/>
      </w:pPr>
    </w:lvl>
    <w:lvl w:ilvl="6">
      <w:start w:val="1"/>
      <w:numFmt w:val="lowerRoman"/>
      <w:pStyle w:val="style7"/>
      <w:lvlText w:val="%7)"/>
      <w:lvlJc w:val="right"/>
      <w:pPr>
        <w:ind w:left="1296" w:hanging="288"/>
      </w:pPr>
    </w:lvl>
    <w:lvl w:ilvl="7">
      <w:start w:val="1"/>
      <w:numFmt w:val="lowerLetter"/>
      <w:pStyle w:val="style8"/>
      <w:lvlText w:val="%8."/>
      <w:lvlJc w:val="left"/>
      <w:pPr>
        <w:ind w:left="1440" w:hanging="432"/>
      </w:pPr>
    </w:lvl>
    <w:lvl w:ilvl="8">
      <w:start w:val="1"/>
      <w:numFmt w:val="lowerRoman"/>
      <w:pStyle w:val="style9"/>
      <w:lvlText w:val="%9."/>
      <w:lvlJc w:val="right"/>
      <w:pPr>
        <w:ind w:left="1584" w:hanging="144"/>
      </w:pPr>
    </w:lvl>
  </w:abstractNum>
  <w:abstractNum w:abstractNumId="9">
    <w:nsid w:val="00000009"/>
    <w:multiLevelType w:val="multilevel"/>
    <w:tmpl w:val="098480D4"/>
    <w:lvl w:ilvl="0">
      <w:start w:val="1"/>
      <w:numFmt w:val="decimal"/>
      <w:lvlText w:val="Article %1."/>
      <w:lvlJc w:val="right"/>
      <w:pPr>
        <w:ind w:left="935" w:hanging="227"/>
      </w:pPr>
      <w:rPr>
        <w:rFonts w:hint="default"/>
        <w:b/>
        <w:u w:val="single"/>
      </w:rPr>
    </w:lvl>
    <w:lvl w:ilvl="1">
      <w:start w:val="1"/>
      <w:numFmt w:val="decimalZero"/>
      <w:isLgl/>
      <w:lvlText w:val="Section %1.%2"/>
      <w:lvlJc w:val="left"/>
      <w:pPr>
        <w:ind w:left="1416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36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2280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42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68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7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00" w:hanging="144"/>
      </w:pPr>
      <w:rPr>
        <w:rFonts w:hint="default"/>
      </w:rPr>
    </w:lvl>
  </w:abstractNum>
  <w:abstractNum w:abstractNumId="10">
    <w:nsid w:val="0000000A"/>
    <w:multiLevelType w:val="multilevel"/>
    <w:tmpl w:val="04102728"/>
    <w:styleLink w:val="style4106"/>
    <w:lvl w:ilvl="0">
      <w:start w:val="1"/>
      <w:numFmt w:val="decimal"/>
      <w:lvlText w:val="Article %1."/>
      <w:lvlJc w:val="right"/>
      <w:pPr>
        <w:ind w:left="284" w:hanging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08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2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7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1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6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4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92" w:hanging="144"/>
      </w:pPr>
      <w:rPr>
        <w:rFonts w:hint="default"/>
      </w:rPr>
    </w:lvl>
  </w:abstractNum>
  <w:abstractNum w:abstractNumId="11">
    <w:nsid w:val="0000000B"/>
    <w:multiLevelType w:val="hybridMultilevel"/>
    <w:tmpl w:val="A45CE7BA"/>
    <w:lvl w:ilvl="0" w:tplc="F2CE4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45CE7BA"/>
    <w:lvl w:ilvl="0" w:tplc="F2CE4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469651FC"/>
    <w:lvl w:ilvl="0">
      <w:start w:val="1"/>
      <w:numFmt w:val="upperRoman"/>
      <w:lvlText w:val="Article %1."/>
      <w:lvlJc w:val="right"/>
      <w:pPr>
        <w:ind w:left="-32767" w:firstLine="32767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0000000E"/>
    <w:multiLevelType w:val="hybridMultilevel"/>
    <w:tmpl w:val="D43CBD22"/>
    <w:lvl w:ilvl="0" w:tplc="083893CA">
      <w:start w:val="2"/>
      <w:numFmt w:val="bullet"/>
      <w:lvlText w:val="-"/>
      <w:lvlJc w:val="left"/>
      <w:pPr>
        <w:ind w:left="1068" w:hanging="360"/>
      </w:pPr>
      <w:rPr>
        <w:rFonts w:ascii="Arial" w:cs="Arial" w:eastAsia="Calibri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0947392"/>
    <w:lvl w:ilvl="0" w:tplc="040C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5"/>
  </w:num>
  <w:num w:numId="5">
    <w:abstractNumId w:val="14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cs="宋体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cs="宋体" w:eastAsia="宋体" w:hAnsi="Cambria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character" w:customStyle="1" w:styleId="style4097">
    <w:name w:val="Titre 1 Car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Titre 2 Car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Titre 3 Car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Titre 4 Car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Titre 5 Car"/>
    <w:basedOn w:val="style65"/>
    <w:next w:val="style4101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2">
    <w:name w:val="Titre 6 Car"/>
    <w:basedOn w:val="style65"/>
    <w:next w:val="style4102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3">
    <w:name w:val="Titre 7 Car"/>
    <w:basedOn w:val="style65"/>
    <w:next w:val="style4103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4">
    <w:name w:val="Titre 8 Car"/>
    <w:basedOn w:val="style65"/>
    <w:next w:val="style4104"/>
    <w:link w:val="style8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05">
    <w:name w:val="Titre 9 Car"/>
    <w:basedOn w:val="style65"/>
    <w:next w:val="style4105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numbering" w:customStyle="1" w:styleId="style4106">
    <w:name w:val="Style1"/>
    <w:next w:val="style4106"/>
    <w:uiPriority w:val="99"/>
    <w:pPr>
      <w:numPr>
        <w:ilvl w:val="0"/>
        <w:numId w:val="2"/>
      </w:numPr>
    </w:p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7">
    <w:name w:val="Texte de bulles Car"/>
    <w:basedOn w:val="style65"/>
    <w:next w:val="style4107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10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108">
    <w:name w:val="En-tête Car"/>
    <w:basedOn w:val="style65"/>
    <w:next w:val="style4108"/>
    <w:link w:val="style31"/>
    <w:uiPriority w:val="99"/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109">
    <w:name w:val="Pied de page Car"/>
    <w:basedOn w:val="style65"/>
    <w:next w:val="style4109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10"/>
    <w:uiPriority w:val="99"/>
    <w:pPr>
      <w:spacing w:lineRule="auto" w:line="240"/>
    </w:pPr>
    <w:rPr>
      <w:sz w:val="20"/>
      <w:szCs w:val="20"/>
    </w:rPr>
  </w:style>
  <w:style w:type="character" w:customStyle="1" w:styleId="style4110">
    <w:name w:val="Commentaire Car"/>
    <w:basedOn w:val="style65"/>
    <w:next w:val="style411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11"/>
    <w:uiPriority w:val="99"/>
    <w:pPr/>
    <w:rPr>
      <w:b/>
      <w:bCs/>
    </w:rPr>
  </w:style>
  <w:style w:type="character" w:customStyle="1" w:styleId="style4111">
    <w:name w:val="Objet du commentaire Car"/>
    <w:basedOn w:val="style4110"/>
    <w:next w:val="style4111"/>
    <w:link w:val="style106"/>
    <w:uiPriority w:val="99"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DC7B-1033-4A01-AA42-7144954B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4106</Words>
  <Pages>16</Pages>
  <Characters>23768</Characters>
  <Application>WPS Office</Application>
  <DocSecurity>0</DocSecurity>
  <Paragraphs>1443</Paragraphs>
  <ScaleCrop>false</ScaleCrop>
  <LinksUpToDate>false</LinksUpToDate>
  <CharactersWithSpaces>26875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2023-06-05T13:53:46Z</dcterms:created>
  <dc:creator>HP</dc:creator>
  <lastModifiedBy>TECNO CD6j</lastModifiedBy>
  <lastPrinted>2023-05-16T10:27:00Z</lastPrinted>
  <dcterms:modified xsi:type="dcterms:W3CDTF">2023-06-05T13:53:46Z</dcterms:modified>
  <revision>63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47ab889687a841f7b97b97acaac50c20</vt:lpwstr>
  </property>
</Properties>
</file>